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19.jpg" ContentType="image/jpeg"/>
  <Override PartName="/word/media/rId31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5" w:name="X585353d8aec71e32101508c22c1e4e52b36bb22"/>
    <w:p>
      <w:pPr>
        <w:pStyle w:val="berschrift1"/>
      </w:pPr>
      <w:r>
        <w:t xml:space="preserve">CEOS-ARD - Synthetic Aperture Radar - Polarimetric Radar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Polarimetric Radar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Polarimetric Radar (POL)</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Start w:id="29" w:name="notice-and-limitations"/>
    <w:p>
      <w:pPr>
        <w:pStyle w:val="berschrift3"/>
      </w:pPr>
      <w:r>
        <w:t xml:space="preserve">Notice and Limitations</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29"/>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8"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X96f5cf0495ba802547027bd915355aff9549cc2">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4"/>
    <w:bookmarkEnd w:id="35"/>
    <w:bookmarkStart w:id="39" w:name="X395b65d2d68dbeeea9cb452c7d813188d36eeff"/>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6"/>
    <w:bookmarkEnd w:id="47"/>
    <w:bookmarkStart w:id="51" w:name="sec:meta.metada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9"/>
    <w:bookmarkEnd w:id="60"/>
    <w:bookmarkStart w:id="65" w:name="sec:src.metadata-instrument-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4"/>
      </w:r>
    </w:p>
    <w:p>
      <w:pPr>
        <w:pStyle w:val="Compact"/>
        <w:numPr>
          <w:ilvl w:val="0"/>
          <w:numId w:val="1015"/>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6"/>
    <w:bookmarkStart w:id="77"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5"/>
    <w:bookmarkEnd w:id="86"/>
    <w:bookmarkStart w:id="90" w:name="sec:src.metadata-sensor-calibration-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8"/>
    <w:bookmarkEnd w:id="119"/>
    <w:bookmarkStart w:id="123"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2"/>
    <w:bookmarkEnd w:id="123"/>
    <w:bookmarkStart w:id="127"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5"/>
    <w:bookmarkStart w:id="126"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6"/>
    <w:bookmarkEnd w:id="127"/>
    <w:bookmarkStart w:id="131" w:name="sec:prd.metadata-speckle-filtering-po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prd.metadata-speckle-filtering-pol</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p>
      <w:pPr>
        <w:pStyle w:val="FirstParagraph"/>
      </w:pPr>
      <w:r>
        <w:t xml:space="preserve">Advanced polarimetric filter preserving covariance matrix properties should be applied.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0"/>
    <w:bookmarkEnd w:id="131"/>
    <w:bookmarkStart w:id="135"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4"/>
    <w:bookmarkEnd w:id="135"/>
    <w:bookmarkStart w:id="139"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8"/>
    <w:bookmarkEnd w:id="139"/>
    <w:bookmarkStart w:id="143"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2"/>
    <w:bookmarkEnd w:id="143"/>
    <w:bookmarkStart w:id="147"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6"/>
    <w:bookmarkEnd w:id="147"/>
    <w:bookmarkStart w:id="151"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0"/>
    <w:bookmarkEnd w:id="151"/>
    <w:bookmarkStart w:id="155"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oud-optimized-formats"/>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pxl.cloud-optimized-formats</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9"/>
    <w:bookmarkEnd w:id="160"/>
    <w:bookmarkStart w:id="164" w:name="sec:pxl.metadata-machine-readability-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3"/>
    <w:bookmarkEnd w:id="164"/>
    <w:bookmarkStart w:id="168" w:name="sec:pxl.per-pixel-data-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49"/>
        </w:numPr>
      </w:pPr>
      <w:r>
        <w:t xml:space="preserve">Valid data</w:t>
      </w:r>
    </w:p>
    <w:p>
      <w:pPr>
        <w:pStyle w:val="Compact"/>
        <w:numPr>
          <w:ilvl w:val="0"/>
          <w:numId w:val="1049"/>
        </w:numPr>
      </w:pPr>
      <w:r>
        <w:t xml:space="preserve">Invalid data</w:t>
      </w:r>
    </w:p>
    <w:p>
      <w:pPr>
        <w:pStyle w:val="Compact"/>
        <w:numPr>
          <w:ilvl w:val="0"/>
          <w:numId w:val="1049"/>
        </w:numPr>
      </w:pPr>
      <w:r>
        <w:t xml:space="preserve">No data</w:t>
      </w:r>
    </w:p>
    <w:p>
      <w:pPr>
        <w:pStyle w:val="FirstParagraph"/>
      </w:pPr>
      <w:r>
        <w:t xml:space="preserve">File format specifications/contents provided in metadata:</w:t>
      </w:r>
    </w:p>
    <w:p>
      <w:pPr>
        <w:pStyle w:val="Compact"/>
        <w:numPr>
          <w:ilvl w:val="0"/>
          <w:numId w:val="1050"/>
        </w:numPr>
      </w:pPr>
      <w:r>
        <w:t xml:space="preserve">Sample Type (Mask)</w:t>
      </w:r>
    </w:p>
    <w:p>
      <w:pPr>
        <w:pStyle w:val="Compact"/>
        <w:numPr>
          <w:ilvl w:val="0"/>
          <w:numId w:val="1050"/>
        </w:numPr>
      </w:pPr>
      <w:r>
        <w:t xml:space="preserve">Data Format (GeoTIFF, HDF5, NetCDF, …)</w:t>
      </w:r>
    </w:p>
    <w:p>
      <w:pPr>
        <w:pStyle w:val="Compact"/>
        <w:numPr>
          <w:ilvl w:val="0"/>
          <w:numId w:val="1050"/>
        </w:numPr>
      </w:pPr>
      <w:r>
        <w:t xml:space="preserve">Data Type (Int, …)</w:t>
      </w:r>
    </w:p>
    <w:p>
      <w:pPr>
        <w:pStyle w:val="Compact"/>
        <w:numPr>
          <w:ilvl w:val="0"/>
          <w:numId w:val="1050"/>
        </w:numPr>
      </w:pPr>
      <w:r>
        <w:t xml:space="preserve">Bits per Sample</w:t>
      </w:r>
    </w:p>
    <w:p>
      <w:pPr>
        <w:pStyle w:val="Compact"/>
        <w:numPr>
          <w:ilvl w:val="0"/>
          <w:numId w:val="1050"/>
        </w:numPr>
      </w:pPr>
      <w:r>
        <w:t xml:space="preserve">Byte Order</w:t>
      </w:r>
    </w:p>
    <w:p>
      <w:pPr>
        <w:pStyle w:val="Compact"/>
        <w:numPr>
          <w:ilvl w:val="0"/>
          <w:numId w:val="1050"/>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1"/>
        </w:numPr>
      </w:pPr>
      <w:r>
        <w:t xml:space="preserve">Layover (masked as invalid data in threshold)</w:t>
      </w:r>
    </w:p>
    <w:p>
      <w:pPr>
        <w:pStyle w:val="Compact"/>
        <w:numPr>
          <w:ilvl w:val="0"/>
          <w:numId w:val="1051"/>
        </w:numPr>
      </w:pPr>
      <w:r>
        <w:t xml:space="preserve">Radar shadow (masked as invalid data in threshold)</w:t>
      </w:r>
    </w:p>
    <w:p>
      <w:pPr>
        <w:pStyle w:val="Compact"/>
        <w:numPr>
          <w:ilvl w:val="0"/>
          <w:numId w:val="1051"/>
        </w:numPr>
      </w:pPr>
      <w:r>
        <w:t xml:space="preserve">Ocean water</w:t>
      </w:r>
    </w:p>
    <w:p>
      <w:pPr>
        <w:pStyle w:val="Compact"/>
        <w:numPr>
          <w:ilvl w:val="0"/>
          <w:numId w:val="1051"/>
        </w:numPr>
      </w:pPr>
      <w:r>
        <w:t xml:space="preserve">Land (recommended for ORB)</w:t>
      </w:r>
    </w:p>
    <w:p>
      <w:pPr>
        <w:pStyle w:val="Compact"/>
        <w:numPr>
          <w:ilvl w:val="0"/>
          <w:numId w:val="1051"/>
        </w:numPr>
      </w:pPr>
      <w:r>
        <w:t xml:space="preserve">RTC applied (e.g., for maritime scenes with land samples for which RTC has been applied)</w:t>
      </w:r>
    </w:p>
    <w:p>
      <w:pPr>
        <w:pStyle w:val="Compact"/>
        <w:numPr>
          <w:ilvl w:val="0"/>
          <w:numId w:val="1051"/>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7"/>
    <w:bookmarkEnd w:id="168"/>
    <w:bookmarkStart w:id="172" w:name="sec:pxl.per-pixel-scattering-are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3"/>
        </w:numPr>
      </w:pPr>
      <w:r>
        <w:t xml:space="preserve">Sample Type (Scattering Area)</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bookmarkEnd w:id="170"/>
    <w:bookmarkStart w:id="171"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1"/>
    <w:bookmarkEnd w:id="172"/>
    <w:bookmarkStart w:id="176" w:name="sec:pxl.per-pixel-local-incident-angle"/>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FirstParagraph"/>
      </w:pPr>
      <w:r>
        <w:t xml:space="preserve">Notes:</w:t>
      </w:r>
    </w:p>
    <w:p>
      <w:pPr>
        <w:pStyle w:val="Compact"/>
        <w:numPr>
          <w:ilvl w:val="0"/>
          <w:numId w:val="1056"/>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5"/>
    <w:bookmarkEnd w:id="176"/>
    <w:bookmarkStart w:id="180" w:name="X42862d8fb19a6b32ebc3398b92b86f6abe50bf3"/>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8"/>
        </w:numPr>
      </w:pPr>
      <w:r>
        <w:t xml:space="preserve">Sample Type (Angle)</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p>
      <w:pPr>
        <w:pStyle w:val="Compact"/>
        <w:numPr>
          <w:ilvl w:val="0"/>
          <w:numId w:val="1058"/>
        </w:numPr>
      </w:pPr>
      <w:r>
        <w:t xml:space="preserve">Reference Ellipsoid Name</w:t>
      </w:r>
    </w:p>
    <w:p>
      <w:pPr>
        <w:pStyle w:val="FirstParagraph"/>
      </w:pPr>
      <w:r>
        <w:t xml:space="preserve">Notes:</w:t>
      </w:r>
    </w:p>
    <w:p>
      <w:pPr>
        <w:pStyle w:val="Compact"/>
        <w:numPr>
          <w:ilvl w:val="0"/>
          <w:numId w:val="1059"/>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79"/>
    <w:bookmarkEnd w:id="180"/>
    <w:bookmarkStart w:id="184" w:name="sec:pxl.per-pixel-noise-power"/>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1"/>
        </w:numPr>
      </w:pPr>
      <w:r>
        <w:t xml:space="preserve">Sample Type (Gamma-Nought, Sigma-Nought, Beta-Nought)</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82"/>
    <w:bookmarkStart w:id="183" w:name="assessment-3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3"/>
    <w:bookmarkEnd w:id="184"/>
    <w:bookmarkStart w:id="188" w:name="sec:pxl.per-pixel-gamma-sigma-ratio"/>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3"/>
        </w:numPr>
      </w:pPr>
      <w:r>
        <w:t xml:space="preserve">Sample Type (Ratio)</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6"/>
    <w:bookmarkStart w:id="187" w:name="assessment-3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7"/>
    <w:bookmarkEnd w:id="188"/>
    <w:bookmarkStart w:id="192" w:name="sec:pxl.per-pixel-acquisition-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5"/>
        </w:numPr>
      </w:pPr>
      <w:r>
        <w:t xml:space="preserve">Sample type (Day, Time, ID)</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91"/>
    <w:bookmarkEnd w:id="192"/>
    <w:bookmarkStart w:id="196" w:name="sec:pxl.per-pixel-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7"/>
        </w:numPr>
      </w:pPr>
      <w:r>
        <w:t xml:space="preserve">Sample Type (Height)</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4"/>
    <w:bookmarkStart w:id="195" w:name="assessment-39"/>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bookmarkEnd w:id="195"/>
    <w:bookmarkEnd w:id="196"/>
    <w:bookmarkEnd w:id="197"/>
    <w:bookmarkStart w:id="226"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1" w:name="sec:rcm.cloud-optimized-formats"/>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rcm.cloud-optimized-formats</w:t>
      </w:r>
    </w:p>
    <w:bookmarkStart w:id="198" w:name="threshold-requirements-40"/>
    <w:p>
      <w:pPr>
        <w:pStyle w:val="berschrift5"/>
      </w:pPr>
      <w:r>
        <w:t xml:space="preserve">Threshold requirements:</w:t>
      </w:r>
    </w:p>
    <w:p>
      <w:pPr>
        <w:pStyle w:val="FirstParagraph"/>
      </w:pPr>
      <w:r>
        <w:t xml:space="preserve">Not required.</w:t>
      </w:r>
      <w:r>
        <w:t xml:space="preserve"> </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200"/>
    <w:bookmarkEnd w:id="201"/>
    <w:bookmarkStart w:id="205" w:name="sec:rcm.measurements-backscatter-pol"/>
    <w:p>
      <w:pPr>
        <w:pStyle w:val="berschrift4"/>
      </w:pPr>
      <w:r>
        <w:rPr>
          <w:rStyle w:val="VerbatimChar"/>
        </w:rPr>
        <w:t xml:space="preserve">5.2.</w:t>
      </w:r>
      <w:r>
        <w:t xml:space="preserve"> </w:t>
      </w:r>
      <w:r>
        <w:t xml:space="preserve">Backscatter Measurements (POL)</w:t>
      </w:r>
    </w:p>
    <w:p>
      <w:pPr>
        <w:pStyle w:val="FirstParagraph"/>
      </w:pPr>
      <w:r>
        <w:t xml:space="preserve">Identifier:</w:t>
      </w:r>
      <w:r>
        <w:t xml:space="preserve"> </w:t>
      </w:r>
      <w:r>
        <w:rPr>
          <w:rStyle w:val="VerbatimChar"/>
        </w:rPr>
        <w:t xml:space="preserve">rcm.measurements-backscatter-pol</w:t>
      </w:r>
    </w:p>
    <w:bookmarkStart w:id="202" w:name="threshold-requirements-41"/>
    <w:p>
      <w:pPr>
        <w:pStyle w:val="berschrift5"/>
      </w:pPr>
      <w:r>
        <w:t xml:space="preserve">Threshold requirements:</w:t>
      </w:r>
    </w:p>
    <w:p>
      <w:pPr>
        <w:pStyle w:val="FirstParagraph"/>
      </w:pPr>
      <w:r>
        <w:t xml:space="preserve">Measurements can be one of the following types or both:</w:t>
      </w:r>
    </w:p>
    <w:p>
      <w:pPr>
        <w:pStyle w:val="Compact"/>
        <w:numPr>
          <w:ilvl w:val="0"/>
          <w:numId w:val="1070"/>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70"/>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71"/>
        </w:numPr>
      </w:pPr>
      <w:r>
        <w:t xml:space="preserve">Measurement Type (CovMat, PRD)</w:t>
      </w:r>
    </w:p>
    <w:p>
      <w:pPr>
        <w:pStyle w:val="Compact"/>
        <w:numPr>
          <w:ilvl w:val="0"/>
          <w:numId w:val="1071"/>
        </w:numPr>
      </w:pPr>
      <w:r>
        <w:t xml:space="preserve">Measurement convention unit (linear amplitude, linear power, angle)</w:t>
      </w:r>
    </w:p>
    <w:p>
      <w:pPr>
        <w:pStyle w:val="Compact"/>
        <w:numPr>
          <w:ilvl w:val="0"/>
          <w:numId w:val="1071"/>
        </w:numPr>
      </w:pPr>
      <w:r>
        <w:t xml:space="preserve">Individual covariance matrix element or/and Individual component of the decomposition (C3m11, C3m12, … or H, A, alpha, or …)</w:t>
      </w:r>
    </w:p>
    <w:p>
      <w:pPr>
        <w:pStyle w:val="Compact"/>
        <w:numPr>
          <w:ilvl w:val="0"/>
          <w:numId w:val="1071"/>
        </w:numPr>
      </w:pPr>
      <w:r>
        <w:t xml:space="preserve">Data Format (GeoTIFF, HDF5, NetCDF, …)</w:t>
      </w:r>
    </w:p>
    <w:p>
      <w:pPr>
        <w:pStyle w:val="Compact"/>
        <w:numPr>
          <w:ilvl w:val="0"/>
          <w:numId w:val="1071"/>
        </w:numPr>
      </w:pPr>
      <w:r>
        <w:t xml:space="preserve">Data Type (Int, Float, Complex, …)</w:t>
      </w:r>
    </w:p>
    <w:p>
      <w:pPr>
        <w:pStyle w:val="Compact"/>
        <w:numPr>
          <w:ilvl w:val="0"/>
          <w:numId w:val="1071"/>
        </w:numPr>
      </w:pPr>
      <w:r>
        <w:t xml:space="preserve">Bits per Sample</w:t>
      </w:r>
    </w:p>
    <w:p>
      <w:pPr>
        <w:pStyle w:val="Compact"/>
        <w:numPr>
          <w:ilvl w:val="0"/>
          <w:numId w:val="1071"/>
        </w:numPr>
      </w:pPr>
      <w:r>
        <w:t xml:space="preserve">Byte Order</w:t>
      </w:r>
    </w:p>
    <w:p>
      <w:pPr>
        <w:pStyle w:val="FirstParagraph"/>
      </w:pPr>
      <w:r>
        <w:t xml:space="preserve">Notes:</w:t>
      </w:r>
    </w:p>
    <w:p>
      <w:pPr>
        <w:pStyle w:val="Compact"/>
        <w:numPr>
          <w:ilvl w:val="0"/>
          <w:numId w:val="1072"/>
        </w:numPr>
      </w:pPr>
      <w:r>
        <w:t xml:space="preserve">It is recommended to keep CovMat or PRD measurement files separated.</w:t>
      </w:r>
      <w:r>
        <w:t xml:space="preserve"> </w:t>
      </w:r>
      <w:r>
        <w:t xml:space="preserve">Otherwise, specify the multi-channel format order (BIP, BIL, BSQ).</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4"/>
    <w:bookmarkEnd w:id="205"/>
    <w:bookmarkStart w:id="209" w:name="sec:rcm.metadata-scaling-conversion"/>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As threshold, but use of float32.</w:t>
      </w:r>
    </w:p>
    <w:bookmarkEnd w:id="207"/>
    <w:bookmarkStart w:id="208"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8"/>
    <w:bookmarkEnd w:id="209"/>
    <w:bookmarkStart w:id="213" w:name="sec:rcm.metadata-noise-remova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t xml:space="preserve">As threshold.</w:t>
      </w:r>
      <w:r>
        <w:t xml:space="preserve"> </w:t>
      </w:r>
    </w:p>
    <w:bookmarkEnd w:id="211"/>
    <w:bookmarkStart w:id="212"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2"/>
    <w:bookmarkEnd w:id="213"/>
    <w:bookmarkStart w:id="217" w:name="Xb88bc7c96e2b484b86bc3560a2c054b7bf2b073"/>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w:t>
      </w:r>
    </w:p>
    <w:bookmarkStart w:id="214"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Notes:</w:t>
      </w:r>
    </w:p>
    <w:p>
      <w:pPr>
        <w:pStyle w:val="Compact"/>
        <w:numPr>
          <w:ilvl w:val="0"/>
          <w:numId w:val="1078"/>
        </w:numPr>
      </w:pPr>
      <w:r>
        <w:t xml:space="preserve">Examples of technical documentation include an Algorithm, Theoretical Basis Document, product user guide, etc.</w:t>
      </w:r>
    </w:p>
    <w:bookmarkEnd w:id="214"/>
    <w:bookmarkStart w:id="215" w:name="goal-requirements-44"/>
    <w:p>
      <w:pPr>
        <w:pStyle w:val="berschrift5"/>
      </w:pPr>
      <w:r>
        <w:t xml:space="preserve">Goal requirements:</w:t>
      </w:r>
    </w:p>
    <w:p>
      <w:pPr>
        <w:pStyle w:val="FirstParagraph"/>
      </w:pPr>
      <w:r>
        <w:t xml:space="preserve">As threshold.</w:t>
      </w:r>
      <w:r>
        <w:t xml:space="preserve"> </w:t>
      </w:r>
    </w:p>
    <w:bookmarkEnd w:id="215"/>
    <w:bookmarkStart w:id="216"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6"/>
    <w:bookmarkEnd w:id="217"/>
    <w:bookmarkStart w:id="221" w:name="X96f5cf0495ba802547027bd915355aff9549cc2"/>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rcm.metadata-radiometric-accuracy-sar</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9"/>
    <w:bookmarkStart w:id="220"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0"/>
    <w:bookmarkEnd w:id="221"/>
    <w:bookmarkStart w:id="225" w:name="sec:rcm.measurements-flattened-phase"/>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22" w:name="threshold-requirements-46"/>
    <w:p>
      <w:pPr>
        <w:pStyle w:val="berschrift5"/>
      </w:pPr>
      <w:r>
        <w:t xml:space="preserve">Threshold requirements:</w:t>
      </w:r>
    </w:p>
    <w:p>
      <w:pPr>
        <w:pStyle w:val="FirstParagraph"/>
      </w:pPr>
      <w:r>
        <w:t xml:space="preserve">Not required.</w:t>
      </w:r>
      <w:r>
        <w:t xml:space="preserve"> </w:t>
      </w:r>
    </w:p>
    <w:bookmarkEnd w:id="222"/>
    <w:bookmarkStart w:id="223"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3"/>
    <w:bookmarkStart w:id="224"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24"/>
    <w:bookmarkEnd w:id="225"/>
    <w:bookmarkEnd w:id="226"/>
    <w:bookmarkStart w:id="247"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0"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Notes:</w:t>
      </w:r>
    </w:p>
    <w:p>
      <w:pPr>
        <w:pStyle w:val="Compact"/>
        <w:numPr>
          <w:ilvl w:val="0"/>
          <w:numId w:val="1084"/>
        </w:numPr>
      </w:pPr>
      <w:r>
        <w:t xml:space="preserve">Examples of technical documentation can include e.g., an Algorithm Theoretical Basis Document (ATBD) or a product user guide.</w:t>
      </w:r>
    </w:p>
    <w:bookmarkEnd w:id="228"/>
    <w:bookmarkStart w:id="229"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9"/>
    <w:bookmarkEnd w:id="230"/>
    <w:bookmarkStart w:id="234"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1"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1"/>
    <w:bookmarkStart w:id="232"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2"/>
    <w:bookmarkStart w:id="233"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3"/>
    <w:bookmarkEnd w:id="234"/>
    <w:bookmarkStart w:id="238"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35"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35"/>
    <w:bookmarkStart w:id="236"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6"/>
    <w:bookmarkStart w:id="237"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7"/>
    <w:bookmarkEnd w:id="238"/>
    <w:bookmarkStart w:id="242"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9" w:name="threshold-requirements-50"/>
    <w:p>
      <w:pPr>
        <w:pStyle w:val="berschrift5"/>
      </w:pPr>
      <w:r>
        <w:t xml:space="preserve">Threshold requirements:</w:t>
      </w:r>
    </w:p>
    <w:p>
      <w:pPr>
        <w:pStyle w:val="FirstParagraph"/>
      </w:pPr>
      <w:r>
        <w:t xml:space="preserve">Not required.</w:t>
      </w:r>
      <w:r>
        <w:t xml:space="preserve"> </w:t>
      </w:r>
    </w:p>
    <w:bookmarkEnd w:id="239"/>
    <w:bookmarkStart w:id="240" w:name="goal-requirements-50"/>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0"/>
    <w:bookmarkStart w:id="241"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1"/>
    <w:bookmarkEnd w:id="242"/>
    <w:bookmarkStart w:id="246"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43"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3"/>
    <w:bookmarkStart w:id="244"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4"/>
    <w:bookmarkStart w:id="245"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5"/>
    <w:bookmarkEnd w:id="246"/>
    <w:bookmarkEnd w:id="247"/>
    <w:bookmarkEnd w:id="248"/>
    <w:bookmarkStart w:id="255" w:name="summary-self-assessment-table"/>
    <w:p>
      <w:pPr>
        <w:pStyle w:val="berschrift2"/>
      </w:pPr>
      <w:r>
        <w:t xml:space="preserve">Summary Self-Assessment Table</w:t>
      </w:r>
    </w:p>
    <w:bookmarkStart w:id="249"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9"/>
    <w:bookmarkStart w:id="250"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0"/>
    <w:bookmarkStart w:id="251"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prd.metadata-speckle-filtering-pol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1"/>
    <w:bookmarkStart w:id="252"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2"/>
    <w:bookmarkStart w:id="253"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3"/>
    <w:bookmarkStart w:id="254"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4"/>
    <w:bookmarkEnd w:id="255"/>
    <w:bookmarkStart w:id="260"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6"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6"/>
    <w:bookmarkStart w:id="258"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7">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8"/>
    <w:bookmarkStart w:id="259"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9"/>
    <w:bookmarkEnd w:id="260"/>
    <w:bookmarkStart w:id="288" w:name="references"/>
    <w:p>
      <w:pPr>
        <w:pStyle w:val="berschrift2"/>
      </w:pPr>
      <w:r>
        <w:t xml:space="preserve">References</w:t>
      </w:r>
    </w:p>
    <w:bookmarkStart w:id="287" w:name="refs"/>
    <w:bookmarkStart w:id="262"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61">
        <w:r>
          <w:rPr>
            <w:rStyle w:val="Hyperlink"/>
          </w:rPr>
          <w:t xml:space="preserve">https://doi.org/10.1109/36.499784</w:t>
        </w:r>
      </w:hyperlink>
      <w:r>
        <w:t xml:space="preserve">.</w:t>
      </w:r>
    </w:p>
    <w:bookmarkEnd w:id="262"/>
    <w:bookmarkStart w:id="264"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63">
        <w:r>
          <w:rPr>
            <w:rStyle w:val="Hyperlink"/>
          </w:rPr>
          <w:t xml:space="preserve">https://doi.org/10.1109/36.485127</w:t>
        </w:r>
      </w:hyperlink>
      <w:r>
        <w:t xml:space="preserve">.</w:t>
      </w:r>
    </w:p>
    <w:bookmarkEnd w:id="264"/>
    <w:bookmarkStart w:id="266"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65">
        <w:r>
          <w:rPr>
            <w:rStyle w:val="Hyperlink"/>
          </w:rPr>
          <w:t xml:space="preserve">https://doi.org/10.1109/36.673687</w:t>
        </w:r>
      </w:hyperlink>
      <w:r>
        <w:t xml:space="preserve">.</w:t>
      </w:r>
    </w:p>
    <w:bookmarkEnd w:id="266"/>
    <w:bookmarkStart w:id="268"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67">
        <w:r>
          <w:rPr>
            <w:rStyle w:val="Hyperlink"/>
          </w:rPr>
          <w:t xml:space="preserve">https://doi.org/10.1080/2150704X.2012.687470</w:t>
        </w:r>
      </w:hyperlink>
      <w:r>
        <w:t xml:space="preserve">.</w:t>
      </w:r>
    </w:p>
    <w:bookmarkEnd w:id="268"/>
    <w:bookmarkStart w:id="26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9"/>
    <w:bookmarkStart w:id="270"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70"/>
    <w:bookmarkStart w:id="272"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1">
        <w:r>
          <w:rPr>
            <w:rStyle w:val="Hyperlink"/>
          </w:rPr>
          <w:t xml:space="preserve">https://doi.org/10.1109/TGRS.2008.2002881</w:t>
        </w:r>
      </w:hyperlink>
      <w:r>
        <w:t xml:space="preserve">.</w:t>
      </w:r>
    </w:p>
    <w:bookmarkEnd w:id="272"/>
    <w:bookmarkStart w:id="274"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3">
        <w:r>
          <w:rPr>
            <w:rStyle w:val="Hyperlink"/>
          </w:rPr>
          <w:t xml:space="preserve">https://doi.org/10.1029/2011JE003986</w:t>
        </w:r>
      </w:hyperlink>
      <w:r>
        <w:t xml:space="preserve">.</w:t>
      </w:r>
    </w:p>
    <w:bookmarkEnd w:id="274"/>
    <w:bookmarkStart w:id="27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5">
        <w:r>
          <w:rPr>
            <w:rStyle w:val="Hyperlink"/>
          </w:rPr>
          <w:t xml:space="preserve">https://doi.org/10.1109/TGRS.2022.3147472</w:t>
        </w:r>
      </w:hyperlink>
      <w:r>
        <w:t xml:space="preserve">.</w:t>
      </w:r>
    </w:p>
    <w:bookmarkEnd w:id="276"/>
    <w:bookmarkStart w:id="27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7">
        <w:r>
          <w:rPr>
            <w:rStyle w:val="Hyperlink"/>
          </w:rPr>
          <w:t xml:space="preserve">https://doi.org/10.1109/TGRS.2011.2120616</w:t>
        </w:r>
      </w:hyperlink>
      <w:r>
        <w:t xml:space="preserve">.</w:t>
      </w:r>
    </w:p>
    <w:bookmarkEnd w:id="278"/>
    <w:bookmarkStart w:id="280"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79">
        <w:r>
          <w:rPr>
            <w:rStyle w:val="Hyperlink"/>
          </w:rPr>
          <w:t xml:space="preserve">https://doi.org/10.1109/TGRS.2012.2233206</w:t>
        </w:r>
      </w:hyperlink>
      <w:r>
        <w:t xml:space="preserve">.</w:t>
      </w:r>
    </w:p>
    <w:bookmarkEnd w:id="280"/>
    <w:bookmarkStart w:id="282"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1">
        <w:r>
          <w:rPr>
            <w:rStyle w:val="Hyperlink"/>
          </w:rPr>
          <w:t xml:space="preserve">https://doi.org/10.1109/TGRS.2010.2099124</w:t>
        </w:r>
      </w:hyperlink>
      <w:r>
        <w:t xml:space="preserve">.</w:t>
      </w:r>
    </w:p>
    <w:bookmarkEnd w:id="282"/>
    <w:bookmarkStart w:id="28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3">
        <w:r>
          <w:rPr>
            <w:rStyle w:val="Hyperlink"/>
          </w:rPr>
          <w:t xml:space="preserve">https://doi.org/10.1109/LGRS.2017.2753580</w:t>
        </w:r>
      </w:hyperlink>
      <w:r>
        <w:t xml:space="preserve">.</w:t>
      </w:r>
    </w:p>
    <w:bookmarkEnd w:id="284"/>
    <w:bookmarkStart w:id="28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5">
        <w:r>
          <w:rPr>
            <w:rStyle w:val="Hyperlink"/>
          </w:rPr>
          <w:t xml:space="preserve">https://doi.org/10.1109/TGRS.2010.2051333</w:t>
        </w:r>
      </w:hyperlink>
      <w:r>
        <w:t xml:space="preserve">.</w:t>
      </w:r>
    </w:p>
    <w:bookmarkEnd w:id="286"/>
    <w:bookmarkEnd w:id="287"/>
    <w:p>
      <w:r>
        <w:br w:type="page"/>
      </w:r>
    </w:p>
    <w:bookmarkEnd w:id="288"/>
    <w:bookmarkStart w:id="324" w:name="annexes"/>
    <w:p>
      <w:pPr>
        <w:pStyle w:val="berschrift2"/>
      </w:pPr>
      <w:r>
        <w:t xml:space="preserve">Annexes</w:t>
      </w:r>
    </w:p>
    <w:bookmarkStart w:id="29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9"/>
    <w:bookmarkEnd w:id="290"/>
    <w:bookmarkStart w:id="30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1"/>
    </w:p>
    <w:p>
      <w:pPr>
        <w:pStyle w:val="FirstParagraph"/>
      </w:pPr>
      <w:r>
        <w:t xml:space="preserve">Where</w:t>
      </w:r>
    </w:p>
    <w:p>
      <w:pPr>
        <w:pStyle w:val="Textkrper"/>
      </w:pPr>
      <w:bookmarkStart w:id="29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4"/>
    </w:p>
    <w:p>
      <w:pPr>
        <w:pStyle w:val="FirstParagraph"/>
      </w:pPr>
      <w:bookmarkStart w:id="29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5"/>
    </w:p>
    <w:p>
      <w:pPr>
        <w:pStyle w:val="FirstParagraph"/>
      </w:pPr>
      <w:r>
        <w:t xml:space="preserve">The differential phase is</w:t>
      </w:r>
    </w:p>
    <w:p>
      <w:pPr>
        <w:pStyle w:val="Textkrper"/>
      </w:pPr>
      <w:bookmarkStart w:id="29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7"/>
    </w:p>
    <w:p>
      <w:pPr>
        <w:pStyle w:val="FirstParagraph"/>
      </w:pPr>
      <w:bookmarkStart w:id="29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8"/>
    </w:p>
    <w:p>
      <w:pPr>
        <w:pStyle w:val="FirstParagraph"/>
      </w:pPr>
      <w:bookmarkStart w:id="29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1"/>
    </w:p>
    <w:bookmarkEnd w:id="302"/>
    <w:bookmarkStart w:id="30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4"/>
    </w:p>
    <w:p>
      <w:pPr>
        <w:pStyle w:val="FirstParagraph"/>
      </w:pPr>
      <w:bookmarkStart w:id="30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5"/>
    </w:p>
    <w:p>
      <w:pPr>
        <w:pStyle w:val="FirstParagraph"/>
      </w:pPr>
      <w:bookmarkStart w:id="30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8"/>
    </w:p>
    <w:bookmarkEnd w:id="309"/>
    <w:bookmarkStart w:id="314"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11"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097"/>
        </w:numPr>
      </w:pPr>
      <w:r>
        <w:t xml:space="preserve">Pauli decomposition (3 layers)</w:t>
      </w:r>
    </w:p>
    <w:p>
      <w:pPr>
        <w:pStyle w:val="Compact"/>
        <w:numPr>
          <w:ilvl w:val="1"/>
          <w:numId w:val="1098"/>
        </w:numPr>
      </w:pPr>
      <m:oMath>
        <m:sSup>
          <m:e>
            <m:d>
              <m:dPr>
                <m:begChr m:val="|"/>
                <m:sepChr m:val=""/>
                <m:endChr m:val="|"/>
                <m:grow/>
              </m:dPr>
              <m:e>
                <m:r>
                  <m:t>α</m:t>
                </m:r>
              </m:e>
            </m:d>
          </m:e>
          <m:sup>
            <m:r>
              <m:t>2</m:t>
            </m:r>
          </m:sup>
        </m:sSup>
      </m:oMath>
      <w:r>
        <w:t xml:space="preserve">: sphere (odd-bounce interaction) [Intensity]</w:t>
      </w:r>
    </w:p>
    <w:p>
      <w:pPr>
        <w:pStyle w:val="Compact"/>
        <w:numPr>
          <w:ilvl w:val="1"/>
          <w:numId w:val="1098"/>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098"/>
        </w:numPr>
      </w:pPr>
      <m:oMath>
        <m:sSup>
          <m:e>
            <m:d>
              <m:dPr>
                <m:begChr m:val="|"/>
                <m:sepChr m:val=""/>
                <m:endChr m:val="|"/>
                <m:grow/>
              </m:dPr>
              <m:e>
                <m:r>
                  <m:t>γ</m:t>
                </m:r>
              </m:e>
            </m:d>
          </m:e>
          <m:sup>
            <m:r>
              <m:t>2</m:t>
            </m:r>
          </m:sup>
        </m:sSup>
      </m:oMath>
      <w:r>
        <w:t xml:space="preserve">: 45° diplane (volumetric interaction) [Intensity]</w:t>
      </w:r>
    </w:p>
    <w:p>
      <w:pPr>
        <w:numPr>
          <w:ilvl w:val="0"/>
          <w:numId w:val="1097"/>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099"/>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099"/>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099"/>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099"/>
        </w:numPr>
      </w:pPr>
      <m:oMath>
        <m:r>
          <m:t>θ</m:t>
        </m:r>
      </m:oMath>
      <w:r>
        <w:t xml:space="preserve">: orientation angle [degrees]</w:t>
      </w:r>
    </w:p>
    <w:p>
      <w:pPr>
        <w:pStyle w:val="Compact"/>
        <w:numPr>
          <w:ilvl w:val="1"/>
          <w:numId w:val="1099"/>
        </w:numPr>
      </w:pPr>
      <m:oMath>
        <m:sSub>
          <m:e>
            <m:r>
              <m:t>Φ</m:t>
            </m:r>
          </m:e>
          <m:sub>
            <m:r>
              <m:t>s</m:t>
            </m:r>
          </m:sub>
        </m:sSub>
      </m:oMath>
      <w:r>
        <w:t xml:space="preserve">: sphere to diplane angle [degrees]</w:t>
      </w:r>
    </w:p>
    <w:p>
      <w:pPr>
        <w:numPr>
          <w:ilvl w:val="0"/>
          <w:numId w:val="1097"/>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10" w:name="tbl:sar-pol-prd-tbl1"/>
    <w:p>
      <w:pPr>
        <w:pStyle w:val="Compact"/>
      </w:pPr>
      <w:r>
        <w:t xml:space="preserve">Table 2: Elementary objects of known scattering signature</w:t>
      </w:r>
    </w:p>
    <w:tbl>
      <w:tblPr>
        <w:tblStyle w:val="Table"/>
        <w:tblW w:type="auto" w:w="0"/>
        <w:jc w:val="left"/>
        <w:tblInd w:w="720" w:type="dxa"/>
        <w:tblLook w:firstRow="1" w:lastRow="0" w:firstColumn="0" w:lastColumn="0" w:noHBand="0" w:noVBand="0" w:val="0020"/>
        <w:tblCaption w:val="Table 2: Elementary objects of known scattering signature"/>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10"/>
    <w:bookmarkEnd w:id="311"/>
    <w:bookmarkStart w:id="313"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100"/>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12"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12"/>
    <w:p>
      <w:pPr>
        <w:numPr>
          <w:ilvl w:val="0"/>
          <w:numId w:val="1100"/>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101"/>
        </w:numPr>
      </w:pPr>
      <m:oMath>
        <m:r>
          <m:t>H</m:t>
        </m:r>
      </m:oMath>
      <w:r>
        <w:t xml:space="preserve"> </w:t>
      </w:r>
      <w:r>
        <w:t xml:space="preserve">: Entropy [ ] is the polarization diversity</w:t>
      </w:r>
    </w:p>
    <w:p>
      <w:pPr>
        <w:pStyle w:val="Compact"/>
        <w:numPr>
          <w:ilvl w:val="1"/>
          <w:numId w:val="1101"/>
        </w:numPr>
      </w:pPr>
      <m:oMath>
        <m:r>
          <m:t>A</m:t>
        </m:r>
      </m:oMath>
      <w:r>
        <w:t xml:space="preserve"> </w:t>
      </w:r>
      <w:r>
        <w:t xml:space="preserve">: Anisotropy [ ] is weighted difference between the 2ⁿᵈ and 3ʳᵈ eigenvalues</w:t>
      </w:r>
    </w:p>
    <w:p>
      <w:pPr>
        <w:pStyle w:val="Compact"/>
        <w:numPr>
          <w:ilvl w:val="1"/>
          <w:numId w:val="1101"/>
        </w:numPr>
      </w:pPr>
      <m:oMath>
        <m:r>
          <m:t>α</m:t>
        </m:r>
      </m:oMath>
      <w:r>
        <w:t xml:space="preserve"> </w:t>
      </w:r>
      <w:r>
        <w:t xml:space="preserve">: Odd-even bounce angle [Degrees]</w:t>
      </w:r>
    </w:p>
    <w:p>
      <w:pPr>
        <w:pStyle w:val="Compact"/>
        <w:numPr>
          <w:ilvl w:val="1"/>
          <w:numId w:val="1101"/>
        </w:numPr>
      </w:pPr>
      <m:oMath>
        <m:r>
          <m:t>β</m:t>
        </m:r>
      </m:oMath>
      <w:r>
        <w:t xml:space="preserve"> </w:t>
      </w:r>
      <w:r>
        <w:t xml:space="preserve">: orientation angle [Degrees]</w:t>
      </w:r>
    </w:p>
    <w:bookmarkEnd w:id="313"/>
    <w:bookmarkEnd w:id="314"/>
    <w:bookmarkStart w:id="323"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8"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16" name="Picture"/>
            <a:graphic>
              <a:graphicData uri="http://schemas.openxmlformats.org/drawingml/2006/picture">
                <pic:pic>
                  <pic:nvPicPr>
                    <pic:cNvPr descr="assets/sar-pol-examples/pol-decomposition.jpeg" id="317" name="Picture"/>
                    <pic:cNvPicPr>
                      <a:picLocks noChangeArrowheads="1" noChangeAspect="1"/>
                    </pic:cNvPicPr>
                  </pic:nvPicPr>
                  <pic:blipFill>
                    <a:blip r:embed="rId315"/>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8"/>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22"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20" name="Picture"/>
            <a:graphic>
              <a:graphicData uri="http://schemas.openxmlformats.org/drawingml/2006/picture">
                <pic:pic>
                  <pic:nvPicPr>
                    <pic:cNvPr descr="assets/sar-pol-examples/m-chi-decomposition.jpeg" id="321" name="Picture"/>
                    <pic:cNvPicPr>
                      <a:picLocks noChangeArrowheads="1" noChangeAspect="1"/>
                    </pic:cNvPicPr>
                  </pic:nvPicPr>
                  <pic:blipFill>
                    <a:blip r:embed="rId319"/>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22"/>
    <w:bookmarkEnd w:id="323"/>
    <w:bookmarkEnd w:id="324"/>
    <w:bookmarkEnd w:id="32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19" Target="media/rId319.jpg" /><Relationship Type="http://schemas.openxmlformats.org/officeDocument/2006/relationships/image" Id="rId315" Target="media/rId315.jpg" /><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73" Target="https://doi.org/10.1029/2011JE003986" TargetMode="External" /><Relationship Type="http://schemas.openxmlformats.org/officeDocument/2006/relationships/hyperlink" Id="rId267" Target="https://doi.org/10.1080/2150704X.2012.687470" TargetMode="External" /><Relationship Type="http://schemas.openxmlformats.org/officeDocument/2006/relationships/hyperlink" Id="rId263" Target="https://doi.org/10.1109/36.485127" TargetMode="External" /><Relationship Type="http://schemas.openxmlformats.org/officeDocument/2006/relationships/hyperlink" Id="rId261" Target="https://doi.org/10.1109/36.499784" TargetMode="External" /><Relationship Type="http://schemas.openxmlformats.org/officeDocument/2006/relationships/hyperlink" Id="rId265" Target="https://doi.org/10.1109/36.673687" TargetMode="External" /><Relationship Type="http://schemas.openxmlformats.org/officeDocument/2006/relationships/hyperlink" Id="rId283" Target="https://doi.org/10.1109/LGRS.2017.2753580" TargetMode="External" /><Relationship Type="http://schemas.openxmlformats.org/officeDocument/2006/relationships/hyperlink" Id="rId271" Target="https://doi.org/10.1109/TGRS.2008.2002881" TargetMode="External" /><Relationship Type="http://schemas.openxmlformats.org/officeDocument/2006/relationships/hyperlink" Id="rId285" Target="https://doi.org/10.1109/TGRS.2010.2051333" TargetMode="External" /><Relationship Type="http://schemas.openxmlformats.org/officeDocument/2006/relationships/hyperlink" Id="rId281" Target="https://doi.org/10.1109/TGRS.2010.2099124" TargetMode="External" /><Relationship Type="http://schemas.openxmlformats.org/officeDocument/2006/relationships/hyperlink" Id="rId277" Target="https://doi.org/10.1109/TGRS.2011.2120616" TargetMode="External" /><Relationship Type="http://schemas.openxmlformats.org/officeDocument/2006/relationships/hyperlink" Id="rId279" Target="https://doi.org/10.1109/TGRS.2012.2233206" TargetMode="External" /><Relationship Type="http://schemas.openxmlformats.org/officeDocument/2006/relationships/hyperlink" Id="rId275"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73" Target="https://doi.org/10.1029/2011JE003986" TargetMode="External" /><Relationship Type="http://schemas.openxmlformats.org/officeDocument/2006/relationships/hyperlink" Id="rId267" Target="https://doi.org/10.1080/2150704X.2012.687470" TargetMode="External" /><Relationship Type="http://schemas.openxmlformats.org/officeDocument/2006/relationships/hyperlink" Id="rId263" Target="https://doi.org/10.1109/36.485127" TargetMode="External" /><Relationship Type="http://schemas.openxmlformats.org/officeDocument/2006/relationships/hyperlink" Id="rId261" Target="https://doi.org/10.1109/36.499784" TargetMode="External" /><Relationship Type="http://schemas.openxmlformats.org/officeDocument/2006/relationships/hyperlink" Id="rId265" Target="https://doi.org/10.1109/36.673687" TargetMode="External" /><Relationship Type="http://schemas.openxmlformats.org/officeDocument/2006/relationships/hyperlink" Id="rId283" Target="https://doi.org/10.1109/LGRS.2017.2753580" TargetMode="External" /><Relationship Type="http://schemas.openxmlformats.org/officeDocument/2006/relationships/hyperlink" Id="rId271" Target="https://doi.org/10.1109/TGRS.2008.2002881" TargetMode="External" /><Relationship Type="http://schemas.openxmlformats.org/officeDocument/2006/relationships/hyperlink" Id="rId285" Target="https://doi.org/10.1109/TGRS.2010.2051333" TargetMode="External" /><Relationship Type="http://schemas.openxmlformats.org/officeDocument/2006/relationships/hyperlink" Id="rId281" Target="https://doi.org/10.1109/TGRS.2010.2099124" TargetMode="External" /><Relationship Type="http://schemas.openxmlformats.org/officeDocument/2006/relationships/hyperlink" Id="rId277" Target="https://doi.org/10.1109/TGRS.2011.2120616" TargetMode="External" /><Relationship Type="http://schemas.openxmlformats.org/officeDocument/2006/relationships/hyperlink" Id="rId279" Target="https://doi.org/10.1109/TGRS.2012.2233206" TargetMode="External" /><Relationship Type="http://schemas.openxmlformats.org/officeDocument/2006/relationships/hyperlink" Id="rId275"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1.2-draft</dc:title>
  <dc:creator/>
  <dc:language>en</dc:language>
  <cp:keywords/>
  <dcterms:created xsi:type="dcterms:W3CDTF">2026-02-02T11:22:24Z</dcterms:created>
  <dcterms:modified xsi:type="dcterms:W3CDTF">2026-02-02T11:22:24Z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