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421" w:name="ceos-ard---optical---aquatic-reflectance"/>
    <w:p>
      <w:pPr>
        <w:pStyle w:val="berschrift1"/>
      </w:pPr>
      <w:r>
        <w:t xml:space="preserve">CEOS-ARD - Optical - Aquatic Reflectance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Aquatic Reflectance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2026-04-13 (PATCH)</w:t>
      </w:r>
    </w:p>
    <w:p>
      <w:pPr>
        <w:pStyle w:val="Compact"/>
        <w:numPr>
          <w:ilvl w:val="0"/>
          <w:numId w:val="1001"/>
        </w:numPr>
      </w:pPr>
      <w:r>
        <w:t xml:space="preserve">Restructured the document; removed empty or unused parts</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definitions are included in the document instead of referring to the CEOS Terms and Defintions Wiki</w:t>
      </w:r>
    </w:p>
    <w:p>
      <w:pPr>
        <w:pStyle w:val="Compact"/>
        <w:numPr>
          <w:ilvl w:val="0"/>
          <w:numId w:val="1001"/>
        </w:numPr>
      </w:pPr>
      <w:r>
        <w:t xml:space="preserve">The references are not grouped by requirements and threshold/goal any longer. Instead, they are listed in the requirements as a note.</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Compact"/>
        <w:numPr>
          <w:ilvl w:val="0"/>
          <w:numId w:val="1001"/>
        </w:numPr>
      </w:pPr>
      <w:r>
        <w:t xml:space="preserve">The requirement references (i.e. </w:t>
      </w:r>
      <w:r>
        <w:t xml:space="preserve">“3.1-3.3”</w:t>
      </w:r>
      <w:r>
        <w:t xml:space="preserve"> </w:t>
      </w:r>
      <w:r>
        <w:t xml:space="preserve">and</w:t>
      </w:r>
      <w:r>
        <w:t xml:space="preserve"> </w:t>
      </w:r>
      <w:r>
        <w:t xml:space="preserve">“3.4 onwards”</w:t>
      </w:r>
      <w:r>
        <w:t xml:space="preserve">) were removed from the category description of</w:t>
      </w:r>
      <w:r>
        <w:t xml:space="preserve"> </w:t>
      </w:r>
      <w:r>
        <w:t xml:space="preserve">“Products and Algorithms”</w:t>
      </w:r>
      <w:r>
        <w:t xml:space="preserve">.</w:t>
      </w:r>
    </w:p>
    <w:p>
      <w:pPr>
        <w:pStyle w:val="Compact"/>
        <w:numPr>
          <w:ilvl w:val="0"/>
          <w:numId w:val="1001"/>
        </w:numPr>
      </w:pPr>
      <w:r>
        <w:t xml:space="preserve">If no threshold requirement applies, the wording has been made consistent (e.g. former req. 1.7 and 1.8).</w:t>
      </w:r>
    </w:p>
    <w:p>
      <w:pPr>
        <w:pStyle w:val="FirstParagraph"/>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25"/>
    <w:bookmarkEnd w:id="26"/>
    <w:bookmarkStart w:id="30" w:name="contributing-authors"/>
    <w:p>
      <w:pPr>
        <w:pStyle w:val="berschrift2"/>
      </w:pPr>
      <w:r>
        <w:t xml:space="preserve">Contributing Authors</w:t>
      </w:r>
    </w:p>
    <w:bookmarkStart w:id="27" w:name="technical-leads"/>
    <w:p>
      <w:pPr>
        <w:pStyle w:val="berschrift3"/>
      </w:pPr>
      <w:r>
        <w:t xml:space="preserve">Technical Leads</w:t>
      </w:r>
    </w:p>
    <w:p>
      <w:pPr>
        <w:pStyle w:val="Compact"/>
        <w:numPr>
          <w:ilvl w:val="0"/>
          <w:numId w:val="1002"/>
        </w:numPr>
      </w:pPr>
      <w:r>
        <w:t xml:space="preserve">Arnold Dekker (CSIRO)</w:t>
      </w:r>
    </w:p>
    <w:p>
      <w:pPr>
        <w:pStyle w:val="Compact"/>
        <w:numPr>
          <w:ilvl w:val="0"/>
          <w:numId w:val="1002"/>
        </w:numPr>
      </w:pPr>
      <w:r>
        <w:t xml:space="preserve">Daniela Gurlin (Independent Consultant)</w:t>
      </w:r>
    </w:p>
    <w:bookmarkEnd w:id="27"/>
    <w:bookmarkStart w:id="28" w:name="organisational-leads"/>
    <w:p>
      <w:pPr>
        <w:pStyle w:val="berschrift3"/>
      </w:pPr>
      <w:r>
        <w:t xml:space="preserve">Organisational Leads</w:t>
      </w:r>
    </w:p>
    <w:p>
      <w:pPr>
        <w:pStyle w:val="Compact"/>
        <w:numPr>
          <w:ilvl w:val="0"/>
          <w:numId w:val="1003"/>
        </w:numPr>
      </w:pPr>
      <w:r>
        <w:t xml:space="preserve">Matt Steventon (CEOS-ARD Oversight Group Secretariat)</w:t>
      </w:r>
    </w:p>
    <w:p>
      <w:pPr>
        <w:pStyle w:val="Compact"/>
        <w:numPr>
          <w:ilvl w:val="0"/>
          <w:numId w:val="1003"/>
        </w:numPr>
      </w:pPr>
      <w:r>
        <w:t xml:space="preserve">Harvey Jones (CEOS-ARD Oversight Group Secretariat)</w:t>
      </w:r>
    </w:p>
    <w:bookmarkEnd w:id="28"/>
    <w:bookmarkStart w:id="29" w:name="contributors"/>
    <w:p>
      <w:pPr>
        <w:pStyle w:val="berschrift3"/>
      </w:pPr>
      <w:r>
        <w:t xml:space="preserve">Contributors</w:t>
      </w:r>
    </w:p>
    <w:p>
      <w:pPr>
        <w:pStyle w:val="Compact"/>
        <w:numPr>
          <w:ilvl w:val="0"/>
          <w:numId w:val="1004"/>
        </w:numPr>
      </w:pPr>
      <w:r>
        <w:t xml:space="preserve">Carsten Brockmann (Brockmann Consult)</w:t>
      </w:r>
    </w:p>
    <w:p>
      <w:pPr>
        <w:pStyle w:val="Compact"/>
        <w:numPr>
          <w:ilvl w:val="0"/>
          <w:numId w:val="1004"/>
        </w:numPr>
      </w:pPr>
      <w:r>
        <w:t xml:space="preserve">Vittorio Brando (CNR)</w:t>
      </w:r>
    </w:p>
    <w:p>
      <w:pPr>
        <w:pStyle w:val="Compact"/>
        <w:numPr>
          <w:ilvl w:val="0"/>
          <w:numId w:val="1004"/>
        </w:numPr>
      </w:pPr>
      <w:r>
        <w:t xml:space="preserve">Claudia Giardino (CNR)</w:t>
      </w:r>
    </w:p>
    <w:p>
      <w:pPr>
        <w:pStyle w:val="Compact"/>
        <w:numPr>
          <w:ilvl w:val="0"/>
          <w:numId w:val="1004"/>
        </w:numPr>
      </w:pPr>
      <w:r>
        <w:t xml:space="preserve">Nicole Pinnel (DLR)</w:t>
      </w:r>
    </w:p>
    <w:p>
      <w:pPr>
        <w:pStyle w:val="Compact"/>
        <w:numPr>
          <w:ilvl w:val="0"/>
          <w:numId w:val="1004"/>
        </w:numPr>
      </w:pPr>
      <w:r>
        <w:t xml:space="preserve">Peter Gege (DLR)</w:t>
      </w:r>
    </w:p>
    <w:p>
      <w:pPr>
        <w:pStyle w:val="Compact"/>
        <w:numPr>
          <w:ilvl w:val="0"/>
          <w:numId w:val="1004"/>
        </w:numPr>
      </w:pPr>
      <w:r>
        <w:t xml:space="preserve">Barbara Bulgarelli (EC)</w:t>
      </w:r>
    </w:p>
    <w:p>
      <w:pPr>
        <w:pStyle w:val="Compact"/>
        <w:numPr>
          <w:ilvl w:val="0"/>
          <w:numId w:val="1004"/>
        </w:numPr>
      </w:pPr>
      <w:r>
        <w:t xml:space="preserve">Peter Strobl (EC)</w:t>
      </w:r>
    </w:p>
    <w:p>
      <w:pPr>
        <w:pStyle w:val="Compact"/>
        <w:numPr>
          <w:ilvl w:val="0"/>
          <w:numId w:val="1004"/>
        </w:numPr>
      </w:pPr>
      <w:r>
        <w:t xml:space="preserve">Frédéric Mélin (EC)</w:t>
      </w:r>
    </w:p>
    <w:p>
      <w:pPr>
        <w:pStyle w:val="Compact"/>
        <w:numPr>
          <w:ilvl w:val="0"/>
          <w:numId w:val="1004"/>
        </w:numPr>
      </w:pPr>
      <w:r>
        <w:t xml:space="preserve">Ewa Kwiatkowska (EUMETSAT)</w:t>
      </w:r>
    </w:p>
    <w:p>
      <w:pPr>
        <w:pStyle w:val="Compact"/>
        <w:numPr>
          <w:ilvl w:val="0"/>
          <w:numId w:val="1004"/>
        </w:numPr>
      </w:pPr>
      <w:r>
        <w:t xml:space="preserve">Hayley Evers-King (EUMETSAT)</w:t>
      </w:r>
    </w:p>
    <w:p>
      <w:pPr>
        <w:pStyle w:val="Compact"/>
        <w:numPr>
          <w:ilvl w:val="0"/>
          <w:numId w:val="1004"/>
        </w:numPr>
      </w:pPr>
      <w:r>
        <w:t xml:space="preserve">Andreia Siqueira (GA)</w:t>
      </w:r>
    </w:p>
    <w:p>
      <w:pPr>
        <w:pStyle w:val="Compact"/>
        <w:numPr>
          <w:ilvl w:val="0"/>
          <w:numId w:val="1004"/>
        </w:numPr>
      </w:pPr>
      <w:r>
        <w:t xml:space="preserve">Medhavy Thankappan (GA)</w:t>
      </w:r>
    </w:p>
    <w:p>
      <w:pPr>
        <w:pStyle w:val="Compact"/>
        <w:numPr>
          <w:ilvl w:val="0"/>
          <w:numId w:val="1004"/>
        </w:numPr>
      </w:pPr>
      <w:r>
        <w:t xml:space="preserve">Peter Harrison (GA)</w:t>
      </w:r>
    </w:p>
    <w:p>
      <w:pPr>
        <w:pStyle w:val="Compact"/>
        <w:numPr>
          <w:ilvl w:val="0"/>
          <w:numId w:val="1004"/>
        </w:numPr>
      </w:pPr>
      <w:r>
        <w:t xml:space="preserve">Igor Ogashawara (IGB Berlin)</w:t>
      </w:r>
    </w:p>
    <w:p>
      <w:pPr>
        <w:pStyle w:val="Compact"/>
        <w:numPr>
          <w:ilvl w:val="0"/>
          <w:numId w:val="1004"/>
        </w:numPr>
      </w:pPr>
      <w:r>
        <w:t xml:space="preserve">Raisha Lovindeer (IOCCG)</w:t>
      </w:r>
    </w:p>
    <w:p>
      <w:pPr>
        <w:pStyle w:val="Compact"/>
        <w:numPr>
          <w:ilvl w:val="0"/>
          <w:numId w:val="1004"/>
        </w:numPr>
      </w:pPr>
      <w:r>
        <w:t xml:space="preserve">Hiroshi Murakami (JAXA)</w:t>
      </w:r>
    </w:p>
    <w:p>
      <w:pPr>
        <w:pStyle w:val="Compact"/>
        <w:numPr>
          <w:ilvl w:val="0"/>
          <w:numId w:val="1004"/>
        </w:numPr>
      </w:pPr>
      <w:r>
        <w:t xml:space="preserve">Joseph D. Ortiz (Kent State)</w:t>
      </w:r>
    </w:p>
    <w:p>
      <w:pPr>
        <w:pStyle w:val="Compact"/>
        <w:numPr>
          <w:ilvl w:val="0"/>
          <w:numId w:val="1004"/>
        </w:numPr>
      </w:pPr>
      <w:r>
        <w:t xml:space="preserve">Sean Bailey (NASA)</w:t>
      </w:r>
    </w:p>
    <w:p>
      <w:pPr>
        <w:pStyle w:val="Compact"/>
        <w:numPr>
          <w:ilvl w:val="0"/>
          <w:numId w:val="1004"/>
        </w:numPr>
      </w:pPr>
      <w:r>
        <w:t xml:space="preserve">Nima Pahlevan (NASA)</w:t>
      </w:r>
    </w:p>
    <w:p>
      <w:pPr>
        <w:pStyle w:val="Compact"/>
        <w:numPr>
          <w:ilvl w:val="0"/>
          <w:numId w:val="1004"/>
        </w:numPr>
      </w:pPr>
      <w:r>
        <w:t xml:space="preserve">Anthony Vodacek (RIT)</w:t>
      </w:r>
    </w:p>
    <w:p>
      <w:pPr>
        <w:pStyle w:val="Compact"/>
        <w:numPr>
          <w:ilvl w:val="0"/>
          <w:numId w:val="1004"/>
        </w:numPr>
      </w:pPr>
      <w:r>
        <w:t xml:space="preserve">Heidi Dierssen (University of Connecticut)</w:t>
      </w:r>
    </w:p>
    <w:p>
      <w:pPr>
        <w:pStyle w:val="Compact"/>
        <w:numPr>
          <w:ilvl w:val="0"/>
          <w:numId w:val="1004"/>
        </w:numPr>
      </w:pPr>
      <w:r>
        <w:t xml:space="preserve">Maycira Costa (University of Victoria)</w:t>
      </w:r>
    </w:p>
    <w:p>
      <w:pPr>
        <w:pStyle w:val="Compact"/>
        <w:numPr>
          <w:ilvl w:val="0"/>
          <w:numId w:val="1004"/>
        </w:numPr>
      </w:pPr>
      <w:r>
        <w:t xml:space="preserve">Ben Page (USGS)</w:t>
      </w:r>
    </w:p>
    <w:p>
      <w:pPr>
        <w:pStyle w:val="Compact"/>
        <w:numPr>
          <w:ilvl w:val="0"/>
          <w:numId w:val="1004"/>
        </w:numPr>
      </w:pPr>
      <w:r>
        <w:t xml:space="preserve">Chris Barnes (USGS)</w:t>
      </w:r>
    </w:p>
    <w:p>
      <w:pPr>
        <w:pStyle w:val="Compact"/>
        <w:numPr>
          <w:ilvl w:val="0"/>
          <w:numId w:val="1004"/>
        </w:numPr>
      </w:pPr>
      <w:r>
        <w:t xml:space="preserve">Liesbeth de Keukelare (VITO)</w:t>
      </w:r>
    </w:p>
    <w:p>
      <w:r>
        <w:br w:type="page"/>
      </w:r>
    </w:p>
    <w:bookmarkEnd w:id="29"/>
    <w:bookmarkEnd w:id="30"/>
    <w:bookmarkStart w:id="31"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31"/>
    <w:bookmarkStart w:id="32" w:name="description"/>
    <w:p>
      <w:pPr>
        <w:pStyle w:val="berschrift2"/>
      </w:pPr>
      <w:r>
        <w:t xml:space="preserve">Description</w:t>
      </w:r>
    </w:p>
    <w:p>
      <w:pPr>
        <w:pStyle w:val="FirstParagraph"/>
      </w:pPr>
      <w:r>
        <w:rPr>
          <w:b/>
          <w:bCs/>
        </w:rPr>
        <w:t xml:space="preserve">Product Family Specification:</w:t>
      </w:r>
      <w:r>
        <w:t xml:space="preserve"> </w:t>
      </w:r>
      <w:r>
        <w:t xml:space="preserve">Optical, Aquatic Reflectance (AR)</w:t>
      </w:r>
    </w:p>
    <w:p>
      <w:pPr>
        <w:pStyle w:val="Textkrper"/>
      </w:pPr>
      <w:r>
        <w:rPr>
          <w:b/>
          <w:bCs/>
        </w:rPr>
        <w:t xml:space="preserve">Version:</w:t>
      </w:r>
      <w:r>
        <w:t xml:space="preserve"> </w:t>
      </w:r>
      <w:r>
        <w:t xml:space="preserve">2.0.0-draft</w:t>
      </w:r>
    </w:p>
    <w:p>
      <w:pPr>
        <w:pStyle w:val="Textkrper"/>
      </w:pPr>
      <w:r>
        <w:rPr>
          <w:b/>
          <w:bCs/>
        </w:rPr>
        <w:t xml:space="preserve">Applies to:</w:t>
      </w:r>
      <w:r>
        <w:t xml:space="preserve"> </w:t>
      </w:r>
      <w:r>
        <w:t xml:space="preserve">Data collected with multispectral and hyperspectral imaging sensors operating in the VIS/NIR/SWIR wavelengths over water bodies (including oceans, seas, coastal zones, and inland waters). These typically operate with ground sample distance and resolution in the order of 1-4000 metres however the specification is not inherently limited to these resolutions.</w:t>
      </w:r>
    </w:p>
    <w:p>
      <w:r>
        <w:br w:type="page"/>
      </w:r>
    </w:p>
    <w:bookmarkEnd w:id="32"/>
    <w:bookmarkStart w:id="33" w:name="definitions-and-abbreviations"/>
    <w:p>
      <w:pPr>
        <w:pStyle w:val="berschrift2"/>
      </w:pPr>
      <w:r>
        <w:t xml:space="preserve">Definitions and Abbreviations</w:t>
      </w:r>
    </w:p>
    <w:p>
      <w:pPr>
        <w:pStyle w:val="DefinitionTerm"/>
      </w:pPr>
      <w:r>
        <w:t xml:space="preserve">Ancillary Data</w:t>
      </w:r>
    </w:p>
    <w:p>
      <w:pPr>
        <w:pStyle w:val="Definition"/>
      </w:pPr>
      <w:r>
        <w:t xml:space="preserve">Data other than instrument measurements, originating in the instrument itself or from the satellite, required to perform processing of the data. They include orbit data, attitude data, time information, spacecraft engineering data, calibration data, data quality information, and data from other instruments.</w:t>
      </w:r>
    </w:p>
    <w:p>
      <w:pPr>
        <w:pStyle w:val="DefinitionTerm"/>
      </w:pPr>
      <w:r>
        <w:t xml:space="preserve">AOD</w:t>
      </w:r>
    </w:p>
    <w:p>
      <w:pPr>
        <w:pStyle w:val="Definition"/>
      </w:pPr>
      <w:r>
        <w:t xml:space="preserve">Aerosol Optical Depth</w:t>
      </w:r>
    </w:p>
    <w:p>
      <w:pPr>
        <w:pStyle w:val="DefinitionTerm"/>
      </w:pPr>
      <w:r>
        <w:t xml:space="preserve">AR</w:t>
      </w:r>
    </w:p>
    <w:p>
      <w:pPr>
        <w:pStyle w:val="Definition"/>
      </w:pPr>
      <w:r>
        <w:t xml:space="preserve">Aquatic Reflectance</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BIPM</w:t>
      </w:r>
    </w:p>
    <w:p>
      <w:pPr>
        <w:pStyle w:val="Definition"/>
      </w:pPr>
      <w:r>
        <w:t xml:space="preserve">Bureau International des Poids et Mesures (International Bureau of Weights and Measures)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GSD</w:t>
      </w:r>
    </w:p>
    <w:p>
      <w:pPr>
        <w:pStyle w:val="Definition"/>
      </w:pPr>
      <w:r>
        <w:t xml:space="preserve">Ground Sample Distance</w:t>
      </w:r>
    </w:p>
    <w:p>
      <w:pPr>
        <w:pStyle w:val="DefinitionTerm"/>
      </w:pPr>
      <w:r>
        <w:t xml:space="preserve">GUM</w:t>
      </w:r>
    </w:p>
    <w:p>
      <w:pPr>
        <w:pStyle w:val="Definition"/>
      </w:pPr>
      <w:r>
        <w:t xml:space="preserve">Guide to the Expression of Uncertainty in Measurement</w:t>
      </w:r>
    </w:p>
    <w:p>
      <w:pPr>
        <w:pStyle w:val="DefinitionTerm"/>
      </w:pPr>
      <w:r>
        <w:t xml:space="preserve">NIR</w:t>
      </w:r>
    </w:p>
    <w:p>
      <w:pPr>
        <w:pStyle w:val="Definition"/>
      </w:pPr>
      <w:r>
        <w:t xml:space="preserve">Near Infrared</w:t>
      </w:r>
    </w:p>
    <w:p>
      <w:pPr>
        <w:pStyle w:val="DefinitionTerm"/>
      </w:pPr>
      <w:r>
        <w:t xml:space="preserve">rRMSE</w:t>
      </w:r>
    </w:p>
    <w:p>
      <w:pPr>
        <w:pStyle w:val="Definition"/>
      </w:pPr>
      <w:r>
        <w:t xml:space="preserve">Radial Root Mean Square Error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SWIR</w:t>
      </w:r>
    </w:p>
    <w:p>
      <w:pPr>
        <w:pStyle w:val="Definition"/>
      </w:pPr>
      <w:r>
        <w:t xml:space="preserve">Shortwave Infrared</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pPr>
        <w:pStyle w:val="DefinitionTerm"/>
      </w:pPr>
      <w:r>
        <w:t xml:space="preserve">WGS84</w:t>
      </w:r>
    </w:p>
    <w:p>
      <w:pPr>
        <w:pStyle w:val="Definition"/>
      </w:pPr>
      <w:r>
        <w:t xml:space="preserve">World Geodetic System 1984</w:t>
      </w:r>
    </w:p>
    <w:p>
      <w:r>
        <w:br w:type="page"/>
      </w:r>
    </w:p>
    <w:bookmarkEnd w:id="33"/>
    <w:bookmarkStart w:id="251"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1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p>
      <w:pPr>
        <w:pStyle w:val="Textkrper"/>
      </w:pPr>
      <w:r>
        <w:t xml:space="preserve">Information should be available in the metadata as a single DOI landing page, which may include links to further detailed documents and references to citable peer-reviewed algorithms or technical documentation.</w:t>
      </w:r>
    </w:p>
    <w:bookmarkStart w:id="37" w:name="sec:meta-ardver"/>
    <w:p>
      <w:pPr>
        <w:pStyle w:val="berschrift4"/>
      </w:pPr>
      <w:r>
        <w:rPr>
          <w:rStyle w:val="VerbatimChar"/>
        </w:rPr>
        <w:t xml:space="preserve">1.1.</w:t>
      </w:r>
      <w:r>
        <w:t xml:space="preserve"> </w:t>
      </w:r>
      <w:r>
        <w:t xml:space="preserve">CEOS-ARD PFS Compliance Version</w:t>
      </w:r>
    </w:p>
    <w:p>
      <w:pPr>
        <w:pStyle w:val="FirstParagraph"/>
      </w:pPr>
      <w:r>
        <w:t xml:space="preserve">Identifier:</w:t>
      </w:r>
      <w:r>
        <w:t xml:space="preserve"> </w:t>
      </w:r>
      <w:r>
        <w:rPr>
          <w:rStyle w:val="VerbatimChar"/>
        </w:rPr>
        <w:t xml:space="preserve">meta-ardver</w:t>
      </w:r>
    </w:p>
    <w:bookmarkStart w:id="34" w:name="threshold-requirements"/>
    <w:p>
      <w:pPr>
        <w:pStyle w:val="berschrift5"/>
      </w:pPr>
      <w:r>
        <w:t xml:space="preserve">Threshold requirements:</w:t>
      </w:r>
    </w:p>
    <w:p>
      <w:pPr>
        <w:pStyle w:val="FirstParagraph"/>
      </w:pPr>
      <w:r>
        <w:t xml:space="preserve">Version of the CEOS-ARD PFS with which the product is complying is identified.</w:t>
      </w:r>
    </w:p>
    <w:bookmarkEnd w:id="34"/>
    <w:bookmarkStart w:id="35" w:name="goal-requirements"/>
    <w:p>
      <w:pPr>
        <w:pStyle w:val="berschrift5"/>
      </w:pPr>
      <w:r>
        <w:t xml:space="preserve">Goal requirements:</w:t>
      </w:r>
    </w:p>
    <w:p>
      <w:pPr>
        <w:pStyle w:val="FirstParagraph"/>
      </w:pPr>
      <w:r>
        <w:t xml:space="preserve">As threshold.</w:t>
      </w:r>
      <w:r>
        <w:t xml:space="preserve"> </w:t>
      </w:r>
    </w:p>
    <w:bookmarkEnd w:id="35"/>
    <w:bookmarkStart w:id="36" w:name="assessment"/>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6"/>
    <w:bookmarkEnd w:id="37"/>
    <w:bookmarkStart w:id="41" w:name="sec:meta-trace-ar"/>
    <w:p>
      <w:pPr>
        <w:pStyle w:val="berschrift4"/>
      </w:pPr>
      <w:r>
        <w:rPr>
          <w:rStyle w:val="VerbatimChar"/>
        </w:rPr>
        <w:t xml:space="preserve">1.2.</w:t>
      </w:r>
      <w:r>
        <w:t xml:space="preserve"> </w:t>
      </w:r>
      <w:r>
        <w:t xml:space="preserve">Traceability</w:t>
      </w:r>
    </w:p>
    <w:p>
      <w:pPr>
        <w:pStyle w:val="FirstParagraph"/>
      </w:pPr>
      <w:r>
        <w:t xml:space="preserve">Identifier:</w:t>
      </w:r>
      <w:r>
        <w:t xml:space="preserve"> </w:t>
      </w:r>
      <w:r>
        <w:rPr>
          <w:rStyle w:val="VerbatimChar"/>
        </w:rPr>
        <w:t xml:space="preserve">meta-trace-ar</w:t>
      </w:r>
    </w:p>
    <w:bookmarkStart w:id="38" w:name="threshold-requirements-1"/>
    <w:p>
      <w:pPr>
        <w:pStyle w:val="berschrift5"/>
      </w:pPr>
      <w:r>
        <w:t xml:space="preserve">Threshold requirements:</w:t>
      </w:r>
    </w:p>
    <w:p>
      <w:pPr>
        <w:pStyle w:val="FirstParagraph"/>
      </w:pPr>
      <w:r>
        <w:t xml:space="preserve">Aquatic Reflectance (dimensionless) or the Remote Sensing Reflectance (</w:t>
      </w:r>
      <m:oMath>
        <m:r>
          <m:t>s</m:t>
        </m:r>
        <m:sSup>
          <m:e>
            <m:r>
              <m:t>r</m:t>
            </m:r>
          </m:e>
          <m:sup>
            <m:r>
              <m:rPr>
                <m:sty m:val="p"/>
              </m:rPr>
              <m:t>−</m:t>
            </m:r>
            <m:r>
              <m:t>1</m:t>
            </m:r>
          </m:sup>
        </m:sSup>
      </m:oMath>
      <w:r>
        <w:t xml:space="preserve">) of the water bodies (</w:t>
      </w:r>
      <m:oMath>
        <m:r>
          <m:t>A</m:t>
        </m:r>
        <m:r>
          <m:t>R</m:t>
        </m:r>
        <m:r>
          <m:rPr>
            <m:sty m:val="p"/>
          </m:rPr>
          <m:t>=</m:t>
        </m:r>
        <m:r>
          <m:t>π</m:t>
        </m:r>
        <m:r>
          <m:rPr>
            <m:sty m:val="p"/>
          </m:rPr>
          <m:t>⋅</m:t>
        </m:r>
        <m:sSub>
          <m:e>
            <m:r>
              <m:t>R</m:t>
            </m:r>
          </m:e>
          <m:sub>
            <m:r>
              <m:t>r</m:t>
            </m:r>
            <m:r>
              <m:t>s</m:t>
            </m:r>
          </m:sub>
        </m:sSub>
      </m:oMath>
      <w:r>
        <w:t xml:space="preserve">) is given.</w:t>
      </w:r>
    </w:p>
    <w:bookmarkEnd w:id="38"/>
    <w:bookmarkStart w:id="39" w:name="goal-requirements-1"/>
    <w:p>
      <w:pPr>
        <w:pStyle w:val="berschrift5"/>
      </w:pPr>
      <w:r>
        <w:t xml:space="preserve">Goal requirements:</w:t>
      </w:r>
    </w:p>
    <w:p>
      <w:pPr>
        <w:pStyle w:val="FirstParagraph"/>
      </w:pPr>
      <w:r>
        <w:t xml:space="preserve">Data must be traceable to SI reference standard.</w:t>
      </w:r>
    </w:p>
    <w:p>
      <w:pPr>
        <w:pStyle w:val="Textkrper"/>
      </w:pPr>
      <w:r>
        <w:t xml:space="preserve">Note:</w:t>
      </w:r>
    </w:p>
    <w:p>
      <w:pPr>
        <w:pStyle w:val="Compact"/>
        <w:numPr>
          <w:ilvl w:val="0"/>
          <w:numId w:val="1006"/>
        </w:numPr>
      </w:pPr>
      <w:r>
        <w:t xml:space="preserve">Relationship to Section </w:t>
      </w:r>
      <w:r>
        <w:t xml:space="preserve">“</w:t>
      </w:r>
      <w:hyperlink w:anchor="sec:pral-muncer-ar">
        <w:r>
          <w:rPr>
            <w:rStyle w:val="Hyperlink"/>
          </w:rPr>
          <w:t xml:space="preserve">Products and Algorithms: Measurement Uncertainty</w:t>
        </w:r>
      </w:hyperlink>
      <w:r>
        <w:t xml:space="preserve">”</w:t>
      </w:r>
      <w:r>
        <w:t xml:space="preserve">. Traceability requires an estimate of measurement uncertainty.</w:t>
      </w:r>
    </w:p>
    <w:bookmarkEnd w:id="39"/>
    <w:bookmarkStart w:id="40" w:name="assessment-1"/>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0"/>
    <w:bookmarkEnd w:id="41"/>
    <w:bookmarkStart w:id="45" w:name="sec:meta-memare-optical"/>
    <w:p>
      <w:pPr>
        <w:pStyle w:val="berschrift4"/>
      </w:pPr>
      <w:r>
        <w:rPr>
          <w:rStyle w:val="VerbatimChar"/>
        </w:rPr>
        <w:t xml:space="preserve">1.3.</w:t>
      </w:r>
      <w:r>
        <w:t xml:space="preserve"> </w:t>
      </w:r>
      <w:r>
        <w:t xml:space="preserve">Metadata Machine Readability</w:t>
      </w:r>
    </w:p>
    <w:p>
      <w:pPr>
        <w:pStyle w:val="FirstParagraph"/>
      </w:pPr>
      <w:r>
        <w:t xml:space="preserve">Identifier:</w:t>
      </w:r>
      <w:r>
        <w:t xml:space="preserve"> </w:t>
      </w:r>
      <w:r>
        <w:rPr>
          <w:rStyle w:val="VerbatimChar"/>
        </w:rPr>
        <w:t xml:space="preserve">meta-memare-optical</w:t>
      </w:r>
    </w:p>
    <w:bookmarkStart w:id="42" w:name="threshold-requirements-2"/>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42"/>
    <w:bookmarkStart w:id="43" w:name="goal-requirements-2"/>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43"/>
    <w:bookmarkStart w:id="44" w:name="assessment-2"/>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44"/>
    <w:bookmarkEnd w:id="45"/>
    <w:bookmarkStart w:id="49" w:name="sec:meta-time-ar"/>
    <w:p>
      <w:pPr>
        <w:pStyle w:val="berschrift4"/>
      </w:pPr>
      <w:r>
        <w:rPr>
          <w:rStyle w:val="VerbatimChar"/>
        </w:rPr>
        <w:t xml:space="preserve">1.4.</w:t>
      </w:r>
      <w:r>
        <w:t xml:space="preserve"> </w:t>
      </w:r>
      <w:r>
        <w:t xml:space="preserve">Data Collection Time</w:t>
      </w:r>
    </w:p>
    <w:p>
      <w:pPr>
        <w:pStyle w:val="FirstParagraph"/>
      </w:pPr>
      <w:r>
        <w:t xml:space="preserve">Identifier:</w:t>
      </w:r>
      <w:r>
        <w:t xml:space="preserve"> </w:t>
      </w:r>
      <w:r>
        <w:rPr>
          <w:rStyle w:val="VerbatimChar"/>
        </w:rPr>
        <w:t xml:space="preserve">meta-time-ar</w:t>
      </w:r>
    </w:p>
    <w:bookmarkStart w:id="46" w:name="threshold-requirements-3"/>
    <w:p>
      <w:pPr>
        <w:pStyle w:val="berschrift5"/>
      </w:pPr>
      <w:r>
        <w:t xml:space="preserve">Threshold requirements:</w:t>
      </w:r>
    </w:p>
    <w:p>
      <w:pPr>
        <w:pStyle w:val="FirstParagraph"/>
      </w:pPr>
      <w:r>
        <w:t xml:space="preserve">The beginning and end of the data collection time is expressed in date/time and identified in the metadata consistent with ISO 8601. The time is expressed with the time offset from UTC unambiguously identified.</w:t>
      </w:r>
    </w:p>
    <w:bookmarkEnd w:id="46"/>
    <w:bookmarkStart w:id="47" w:name="goal-requirements-3"/>
    <w:p>
      <w:pPr>
        <w:pStyle w:val="berschrift5"/>
      </w:pPr>
      <w:r>
        <w:t xml:space="preserve">Goal requirements:</w:t>
      </w:r>
    </w:p>
    <w:p>
      <w:pPr>
        <w:pStyle w:val="FirstParagraph"/>
      </w:pPr>
      <w:r>
        <w:t xml:space="preserve">As threshold, but information required to determine, within a stated uncertainty, when the individual observations were taken is available.</w:t>
      </w:r>
    </w:p>
    <w:bookmarkEnd w:id="47"/>
    <w:bookmarkStart w:id="48" w:name="assessment-3"/>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48"/>
    <w:bookmarkEnd w:id="49"/>
    <w:bookmarkStart w:id="53" w:name="sec:meta-geoarea-optical"/>
    <w:p>
      <w:pPr>
        <w:pStyle w:val="berschrift4"/>
      </w:pPr>
      <w:r>
        <w:rPr>
          <w:rStyle w:val="VerbatimChar"/>
        </w:rPr>
        <w:t xml:space="preserve">1.5.</w:t>
      </w:r>
      <w:r>
        <w:t xml:space="preserve"> </w:t>
      </w:r>
      <w:r>
        <w:t xml:space="preserve">Geographical Area</w:t>
      </w:r>
    </w:p>
    <w:p>
      <w:pPr>
        <w:pStyle w:val="FirstParagraph"/>
      </w:pPr>
      <w:r>
        <w:t xml:space="preserve">Identifier:</w:t>
      </w:r>
      <w:r>
        <w:t xml:space="preserve"> </w:t>
      </w:r>
      <w:r>
        <w:rPr>
          <w:rStyle w:val="VerbatimChar"/>
        </w:rPr>
        <w:t xml:space="preserve">meta-geoarea-optical</w:t>
      </w:r>
    </w:p>
    <w:bookmarkStart w:id="50" w:name="threshold-requirements-4"/>
    <w:p>
      <w:pPr>
        <w:pStyle w:val="berschrift5"/>
      </w:pPr>
      <w:r>
        <w:t xml:space="preserve">Threshold requirements:</w:t>
      </w:r>
    </w:p>
    <w:p>
      <w:pPr>
        <w:pStyle w:val="FirstParagraph"/>
      </w:pPr>
      <w:r>
        <w:t xml:space="preserve">The surface location to which the data relates is identified, typically as a series of four corner points, expressed in an accepted coordinate reference system (e.g., WGS84).</w:t>
      </w:r>
    </w:p>
    <w:bookmarkEnd w:id="50"/>
    <w:bookmarkStart w:id="51" w:name="goal-requirements-4"/>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bookmarkEnd w:id="51"/>
    <w:bookmarkStart w:id="52" w:name="assessment-4"/>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2"/>
    <w:bookmarkEnd w:id="53"/>
    <w:bookmarkStart w:id="57" w:name="sec:meta-crs-ar"/>
    <w:p>
      <w:pPr>
        <w:pStyle w:val="berschrift4"/>
      </w:pPr>
      <w:r>
        <w:rPr>
          <w:rStyle w:val="VerbatimChar"/>
        </w:rPr>
        <w:t xml:space="preserve">1.6.</w:t>
      </w:r>
      <w:r>
        <w:t xml:space="preserve"> </w:t>
      </w:r>
      <w:r>
        <w:t xml:space="preserve">Coordinate Reference System</w:t>
      </w:r>
    </w:p>
    <w:p>
      <w:pPr>
        <w:pStyle w:val="FirstParagraph"/>
      </w:pPr>
      <w:r>
        <w:t xml:space="preserve">Identifier:</w:t>
      </w:r>
      <w:r>
        <w:t xml:space="preserve"> </w:t>
      </w:r>
      <w:r>
        <w:rPr>
          <w:rStyle w:val="VerbatimChar"/>
        </w:rPr>
        <w:t xml:space="preserve">meta-crs-ar</w:t>
      </w:r>
    </w:p>
    <w:bookmarkStart w:id="54" w:name="threshold-requirements-5"/>
    <w:p>
      <w:pPr>
        <w:pStyle w:val="berschrift5"/>
      </w:pPr>
      <w:r>
        <w:t xml:space="preserve">Threshold requirements:</w:t>
      </w:r>
    </w:p>
    <w:p>
      <w:pPr>
        <w:pStyle w:val="FirstParagraph"/>
      </w:pPr>
      <w:r>
        <w:t xml:space="preserve">The coordinate reference system that has been used is detailed.</w:t>
      </w:r>
    </w:p>
    <w:bookmarkEnd w:id="54"/>
    <w:bookmarkStart w:id="55" w:name="goal-requirements-5"/>
    <w:p>
      <w:pPr>
        <w:pStyle w:val="berschrift5"/>
      </w:pPr>
      <w:r>
        <w:t xml:space="preserve">Goal requirements:</w:t>
      </w:r>
    </w:p>
    <w:p>
      <w:pPr>
        <w:pStyle w:val="FirstParagraph"/>
      </w:pPr>
      <w:r>
        <w:t xml:space="preserve">As threshold.</w:t>
      </w:r>
      <w:r>
        <w:t xml:space="preserve"> </w:t>
      </w:r>
    </w:p>
    <w:bookmarkEnd w:id="55"/>
    <w:bookmarkStart w:id="56" w:name="assessment-5"/>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56"/>
    <w:bookmarkEnd w:id="57"/>
    <w:bookmarkStart w:id="61" w:name="sec:meta-mapproj-ar"/>
    <w:p>
      <w:pPr>
        <w:pStyle w:val="berschrift4"/>
      </w:pPr>
      <w:r>
        <w:rPr>
          <w:rStyle w:val="VerbatimChar"/>
        </w:rPr>
        <w:t xml:space="preserve">1.7.</w:t>
      </w:r>
      <w:r>
        <w:t xml:space="preserve"> </w:t>
      </w:r>
      <w:r>
        <w:t xml:space="preserve">Map Projection</w:t>
      </w:r>
    </w:p>
    <w:p>
      <w:pPr>
        <w:pStyle w:val="FirstParagraph"/>
      </w:pPr>
      <w:r>
        <w:t xml:space="preserve">Identifier:</w:t>
      </w:r>
      <w:r>
        <w:t xml:space="preserve"> </w:t>
      </w:r>
      <w:r>
        <w:rPr>
          <w:rStyle w:val="VerbatimChar"/>
        </w:rPr>
        <w:t xml:space="preserve">meta-mapproj-ar</w:t>
      </w:r>
    </w:p>
    <w:bookmarkStart w:id="58" w:name="threshold-requirements-6"/>
    <w:p>
      <w:pPr>
        <w:pStyle w:val="berschrift5"/>
      </w:pPr>
      <w:r>
        <w:t xml:space="preserve">Threshold requirements:</w:t>
      </w:r>
    </w:p>
    <w:p>
      <w:pPr>
        <w:pStyle w:val="FirstParagraph"/>
      </w:pPr>
      <w:r>
        <w:t xml:space="preserve">The map projection that has been used and any relevant parameters required in relation to use of data in that map projection is detailed.</w:t>
      </w:r>
    </w:p>
    <w:bookmarkEnd w:id="58"/>
    <w:bookmarkStart w:id="59" w:name="goal-requirements-6"/>
    <w:p>
      <w:pPr>
        <w:pStyle w:val="berschrift5"/>
      </w:pPr>
      <w:r>
        <w:t xml:space="preserve">Goal requirements:</w:t>
      </w:r>
    </w:p>
    <w:p>
      <w:pPr>
        <w:pStyle w:val="FirstParagraph"/>
      </w:pPr>
      <w:r>
        <w:t xml:space="preserve">As threshold.</w:t>
      </w:r>
      <w:r>
        <w:t xml:space="preserve"> </w:t>
      </w:r>
    </w:p>
    <w:bookmarkEnd w:id="59"/>
    <w:bookmarkStart w:id="60" w:name="assessment-6"/>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0"/>
    <w:bookmarkEnd w:id="61"/>
    <w:bookmarkStart w:id="65" w:name="sec:meta-geocorm-ar"/>
    <w:p>
      <w:pPr>
        <w:pStyle w:val="berschrift4"/>
      </w:pPr>
      <w:r>
        <w:rPr>
          <w:rStyle w:val="VerbatimChar"/>
        </w:rPr>
        <w:t xml:space="preserve">1.8.</w:t>
      </w:r>
      <w:r>
        <w:t xml:space="preserve"> </w:t>
      </w:r>
      <w:r>
        <w:t xml:space="preserve">Geometric Correction Methods</w:t>
      </w:r>
    </w:p>
    <w:p>
      <w:pPr>
        <w:pStyle w:val="FirstParagraph"/>
      </w:pPr>
      <w:r>
        <w:t xml:space="preserve">Identifier:</w:t>
      </w:r>
      <w:r>
        <w:t xml:space="preserve"> </w:t>
      </w:r>
      <w:r>
        <w:rPr>
          <w:rStyle w:val="VerbatimChar"/>
        </w:rPr>
        <w:t xml:space="preserve">meta-geocorm-ar</w:t>
      </w:r>
    </w:p>
    <w:bookmarkStart w:id="62" w:name="threshold-requirements-7"/>
    <w:p>
      <w:pPr>
        <w:pStyle w:val="berschrift5"/>
      </w:pPr>
      <w:r>
        <w:t xml:space="preserve">Threshold requirements:</w:t>
      </w:r>
    </w:p>
    <w:p>
      <w:pPr>
        <w:pStyle w:val="FirstParagraph"/>
      </w:pPr>
      <w:r>
        <w:t xml:space="preserve">Not required.</w:t>
      </w:r>
      <w:r>
        <w:t xml:space="preserve"> </w:t>
      </w:r>
    </w:p>
    <w:bookmarkEnd w:id="62"/>
    <w:bookmarkStart w:id="63" w:name="goal-requirements-7"/>
    <w:p>
      <w:pPr>
        <w:pStyle w:val="berschrift5"/>
      </w:pPr>
      <w:r>
        <w:t xml:space="preserve">Goal requirements:</w:t>
      </w:r>
    </w:p>
    <w:p>
      <w:pPr>
        <w:pStyle w:val="FirstParagraph"/>
      </w:pPr>
      <w:r>
        <w:t xml:space="preserve">Information on geometric correction source and methods are provided, including reference database and auxiliary data such as elevation model(s) and reference chip-sets.</w:t>
      </w:r>
    </w:p>
    <w:bookmarkEnd w:id="63"/>
    <w:bookmarkStart w:id="64" w:name="assessment-7"/>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4"/>
    <w:bookmarkEnd w:id="65"/>
    <w:bookmarkStart w:id="69" w:name="sec:meta-geounc"/>
    <w:p>
      <w:pPr>
        <w:pStyle w:val="berschrift4"/>
      </w:pPr>
      <w:r>
        <w:rPr>
          <w:rStyle w:val="VerbatimChar"/>
        </w:rPr>
        <w:t xml:space="preserve">1.9.</w:t>
      </w:r>
      <w:r>
        <w:t xml:space="preserve"> </w:t>
      </w:r>
      <w:r>
        <w:t xml:space="preserve">Geometric Uncertainty of the Data</w:t>
      </w:r>
    </w:p>
    <w:p>
      <w:pPr>
        <w:pStyle w:val="FirstParagraph"/>
      </w:pPr>
      <w:r>
        <w:t xml:space="preserve">Identifier:</w:t>
      </w:r>
      <w:r>
        <w:t xml:space="preserve"> </w:t>
      </w:r>
      <w:r>
        <w:rPr>
          <w:rStyle w:val="VerbatimChar"/>
        </w:rPr>
        <w:t xml:space="preserve">meta-geounc</w:t>
      </w:r>
    </w:p>
    <w:bookmarkStart w:id="66" w:name="threshold-requirements-8"/>
    <w:p>
      <w:pPr>
        <w:pStyle w:val="berschrift5"/>
      </w:pPr>
      <w:r>
        <w:t xml:space="preserve">Threshold requirements:</w:t>
      </w:r>
    </w:p>
    <w:p>
      <w:pPr>
        <w:pStyle w:val="FirstParagraph"/>
      </w:pPr>
      <w:r>
        <w:t xml:space="preserve">Not required.</w:t>
      </w:r>
      <w:r>
        <w:t xml:space="preserve"> </w:t>
      </w:r>
    </w:p>
    <w:bookmarkEnd w:id="66"/>
    <w:bookmarkStart w:id="67" w:name="goal-requirements-8"/>
    <w:p>
      <w:pPr>
        <w:pStyle w:val="berschrift5"/>
      </w:pPr>
      <w:r>
        <w:t xml:space="preserve">Goal requirements:</w:t>
      </w:r>
    </w:p>
    <w:p>
      <w:pPr>
        <w:pStyle w:val="FirstParagraph"/>
      </w:pPr>
      <w:r>
        <w:t xml:space="preserve">Inclusion of metrics describing the assessed geodetic uncertainty of the data, expressed in units of the coordinate system of the data. Uncertainty is assessed by independent verification (as well as internal model-fit where applicable). Uncertainties are expressed quantitatively.</w:t>
      </w:r>
    </w:p>
    <w:bookmarkEnd w:id="67"/>
    <w:bookmarkStart w:id="68" w:name="assessment-8"/>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68"/>
    <w:bookmarkEnd w:id="69"/>
    <w:bookmarkStart w:id="74" w:name="sec:meta-instru-ar"/>
    <w:p>
      <w:pPr>
        <w:pStyle w:val="berschrift4"/>
      </w:pPr>
      <w:r>
        <w:rPr>
          <w:rStyle w:val="VerbatimChar"/>
        </w:rPr>
        <w:t xml:space="preserve">1.10.</w:t>
      </w:r>
      <w:r>
        <w:t xml:space="preserve"> </w:t>
      </w:r>
      <w:r>
        <w:t xml:space="preserve">Instrument</w:t>
      </w:r>
    </w:p>
    <w:p>
      <w:pPr>
        <w:pStyle w:val="FirstParagraph"/>
      </w:pPr>
      <w:r>
        <w:t xml:space="preserve">Identifier:</w:t>
      </w:r>
      <w:r>
        <w:t xml:space="preserve"> </w:t>
      </w:r>
      <w:r>
        <w:rPr>
          <w:rStyle w:val="VerbatimChar"/>
        </w:rPr>
        <w:t xml:space="preserve">meta-instru-ar</w:t>
      </w:r>
    </w:p>
    <w:bookmarkStart w:id="70" w:name="threshold-requirements-9"/>
    <w:p>
      <w:pPr>
        <w:pStyle w:val="berschrift5"/>
      </w:pPr>
      <w:r>
        <w:t xml:space="preserve">Threshold requirements:</w:t>
      </w:r>
    </w:p>
    <w:p>
      <w:pPr>
        <w:pStyle w:val="FirstParagraph"/>
      </w:pPr>
      <w:r>
        <w:t xml:space="preserve">The instrument used to collect the data is identified.</w:t>
      </w:r>
    </w:p>
    <w:bookmarkEnd w:id="70"/>
    <w:bookmarkStart w:id="72" w:name="goal-requirements-9"/>
    <w:p>
      <w:pPr>
        <w:pStyle w:val="berschrift5"/>
      </w:pPr>
      <w:r>
        <w:t xml:space="preserve">Goal requirements:</w:t>
      </w:r>
    </w:p>
    <w:p>
      <w:pPr>
        <w:pStyle w:val="FirstParagraph"/>
      </w:pPr>
      <w:r>
        <w:t xml:space="preserve">As threshold, with references to the relevant</w:t>
      </w:r>
      <w:r>
        <w:t xml:space="preserve"> </w:t>
      </w:r>
      <w:r>
        <w:t xml:space="preserve">“CEOS Missions, Instruments, and Measurements Database”</w:t>
      </w:r>
      <w:r>
        <w:t xml:space="preserve"> </w:t>
      </w:r>
      <w:r>
        <w:t xml:space="preserve">record (</w:t>
      </w:r>
      <w:hyperlink r:id="rId71">
        <w:r>
          <w:rPr>
            <w:rStyle w:val="Hyperlink"/>
          </w:rPr>
          <w:t xml:space="preserve">database.eohandbook.com</w:t>
        </w:r>
      </w:hyperlink>
      <w:r>
        <w:t xml:space="preserve">).</w:t>
      </w:r>
    </w:p>
    <w:bookmarkEnd w:id="72"/>
    <w:bookmarkStart w:id="73"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3"/>
    <w:bookmarkEnd w:id="74"/>
    <w:bookmarkStart w:id="78" w:name="sec:meta-specband-ar"/>
    <w:p>
      <w:pPr>
        <w:pStyle w:val="berschrift4"/>
      </w:pPr>
      <w:r>
        <w:rPr>
          <w:rStyle w:val="VerbatimChar"/>
        </w:rPr>
        <w:t xml:space="preserve">1.11.</w:t>
      </w:r>
      <w:r>
        <w:t xml:space="preserve"> </w:t>
      </w:r>
      <w:r>
        <w:t xml:space="preserve">Spectral Bands</w:t>
      </w:r>
    </w:p>
    <w:p>
      <w:pPr>
        <w:pStyle w:val="FirstParagraph"/>
      </w:pPr>
      <w:r>
        <w:t xml:space="preserve">Identifier:</w:t>
      </w:r>
      <w:r>
        <w:t xml:space="preserve"> </w:t>
      </w:r>
      <w:r>
        <w:rPr>
          <w:rStyle w:val="VerbatimChar"/>
        </w:rPr>
        <w:t xml:space="preserve">meta-specband-ar</w:t>
      </w:r>
    </w:p>
    <w:bookmarkStart w:id="75" w:name="threshold-requirements-10"/>
    <w:p>
      <w:pPr>
        <w:pStyle w:val="berschrift5"/>
      </w:pPr>
      <w:r>
        <w:t xml:space="preserve">Threshold requirements:</w:t>
      </w:r>
    </w:p>
    <w:p>
      <w:pPr>
        <w:pStyle w:val="FirstParagraph"/>
      </w:pPr>
      <w:r>
        <w:t xml:space="preserve">Full spectral response function is provided.</w:t>
      </w:r>
    </w:p>
    <w:bookmarkEnd w:id="75"/>
    <w:bookmarkStart w:id="76" w:name="goal-requirements-10"/>
    <w:p>
      <w:pPr>
        <w:pStyle w:val="berschrift5"/>
      </w:pPr>
      <w:r>
        <w:t xml:space="preserve">Goal requirements:</w:t>
      </w:r>
    </w:p>
    <w:p>
      <w:pPr>
        <w:pStyle w:val="FirstParagraph"/>
      </w:pPr>
      <w:r>
        <w:t xml:space="preserve">As threshold.</w:t>
      </w:r>
      <w:r>
        <w:t xml:space="preserve"> </w:t>
      </w:r>
    </w:p>
    <w:bookmarkEnd w:id="76"/>
    <w:bookmarkStart w:id="77" w:name="assessment-10"/>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Goal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pict>
          <v:rect style="width:0;height:1.5pt" o:hralign="center" o:hrstd="t" o:hr="t"/>
        </w:pict>
      </w:r>
    </w:p>
    <w:bookmarkEnd w:id="77"/>
    <w:bookmarkEnd w:id="78"/>
    <w:bookmarkStart w:id="82" w:name="sec:meta-sencal-ar"/>
    <w:p>
      <w:pPr>
        <w:pStyle w:val="berschrift4"/>
      </w:pPr>
      <w:r>
        <w:rPr>
          <w:rStyle w:val="VerbatimChar"/>
        </w:rPr>
        <w:t xml:space="preserve">1.12.</w:t>
      </w:r>
      <w:r>
        <w:t xml:space="preserve"> </w:t>
      </w:r>
      <w:r>
        <w:t xml:space="preserve">Sensor Calibration</w:t>
      </w:r>
    </w:p>
    <w:p>
      <w:pPr>
        <w:pStyle w:val="FirstParagraph"/>
      </w:pPr>
      <w:r>
        <w:t xml:space="preserve">Identifier:</w:t>
      </w:r>
      <w:r>
        <w:t xml:space="preserve"> </w:t>
      </w:r>
      <w:r>
        <w:rPr>
          <w:rStyle w:val="VerbatimChar"/>
        </w:rPr>
        <w:t xml:space="preserve">meta-sencal-ar</w:t>
      </w:r>
    </w:p>
    <w:bookmarkStart w:id="79" w:name="threshold-requirements-11"/>
    <w:p>
      <w:pPr>
        <w:pStyle w:val="berschrift5"/>
      </w:pPr>
      <w:r>
        <w:t xml:space="preserve">Threshold requirements:</w:t>
      </w:r>
    </w:p>
    <w:p>
      <w:pPr>
        <w:pStyle w:val="FirstParagraph"/>
      </w:pPr>
      <w:r>
        <w:t xml:space="preserve">Binary description of calibrated/not calibrated only.</w:t>
      </w:r>
    </w:p>
    <w:bookmarkEnd w:id="79"/>
    <w:bookmarkStart w:id="80" w:name="goal-requirements-11"/>
    <w:p>
      <w:pPr>
        <w:pStyle w:val="berschrift5"/>
      </w:pPr>
      <w:r>
        <w:t xml:space="preserve">Goal requirements:</w:t>
      </w:r>
    </w:p>
    <w:p>
      <w:pPr>
        <w:pStyle w:val="FirstParagraph"/>
      </w:pPr>
      <w:r>
        <w:t xml:space="preserve">Specification of sensor calibration parameters including history of onboard calibrations where available.</w:t>
      </w:r>
    </w:p>
    <w:bookmarkEnd w:id="80"/>
    <w:bookmarkStart w:id="81" w:name="assessment-11"/>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81"/>
    <w:bookmarkEnd w:id="82"/>
    <w:bookmarkStart w:id="86" w:name="sec:meta-radunc"/>
    <w:p>
      <w:pPr>
        <w:pStyle w:val="berschrift4"/>
      </w:pPr>
      <w:r>
        <w:rPr>
          <w:rStyle w:val="VerbatimChar"/>
        </w:rPr>
        <w:t xml:space="preserve">1.13.</w:t>
      </w:r>
      <w:r>
        <w:t xml:space="preserve"> </w:t>
      </w:r>
      <w:r>
        <w:t xml:space="preserve">Measurand Radiometric Uncertainty</w:t>
      </w:r>
    </w:p>
    <w:p>
      <w:pPr>
        <w:pStyle w:val="FirstParagraph"/>
      </w:pPr>
      <w:r>
        <w:t xml:space="preserve">Identifier:</w:t>
      </w:r>
      <w:r>
        <w:t xml:space="preserve"> </w:t>
      </w:r>
      <w:r>
        <w:rPr>
          <w:rStyle w:val="VerbatimChar"/>
        </w:rPr>
        <w:t xml:space="preserve">meta-radunc</w:t>
      </w:r>
    </w:p>
    <w:bookmarkStart w:id="83" w:name="threshold-requirements-12"/>
    <w:p>
      <w:pPr>
        <w:pStyle w:val="berschrift5"/>
      </w:pPr>
      <w:r>
        <w:t xml:space="preserve">Threshold requirements:</w:t>
      </w:r>
    </w:p>
    <w:p>
      <w:pPr>
        <w:pStyle w:val="FirstParagraph"/>
      </w:pPr>
      <w:r>
        <w:t xml:space="preserve">Metrics describing the assessed radiometric uncertainty of the version of the data or product are provided. Method of determination of radiometric uncertainty is specified.</w:t>
      </w:r>
    </w:p>
    <w:bookmarkEnd w:id="83"/>
    <w:bookmarkStart w:id="84" w:name="goal-requirements-12"/>
    <w:p>
      <w:pPr>
        <w:pStyle w:val="berschrift5"/>
      </w:pPr>
      <w:r>
        <w:t xml:space="preserve">Goal requirements:</w:t>
      </w:r>
    </w:p>
    <w:p>
      <w:pPr>
        <w:pStyle w:val="FirstParagraph"/>
      </w:pPr>
      <w:r>
        <w:t xml:space="preserve">As threshold, but the absolute radiometric uncertainty of the data is provided.</w:t>
      </w:r>
    </w:p>
    <w:bookmarkEnd w:id="84"/>
    <w:bookmarkStart w:id="85" w:name="assessment-12"/>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85"/>
    <w:bookmarkEnd w:id="86"/>
    <w:bookmarkStart w:id="90" w:name="sec:meta-radenc"/>
    <w:p>
      <w:pPr>
        <w:pStyle w:val="berschrift4"/>
      </w:pPr>
      <w:r>
        <w:rPr>
          <w:rStyle w:val="VerbatimChar"/>
        </w:rPr>
        <w:t xml:space="preserve">1.14.</w:t>
      </w:r>
      <w:r>
        <w:t xml:space="preserve"> </w:t>
      </w:r>
      <w:r>
        <w:t xml:space="preserve">Radiometric Encoding</w:t>
      </w:r>
    </w:p>
    <w:p>
      <w:pPr>
        <w:pStyle w:val="FirstParagraph"/>
      </w:pPr>
      <w:r>
        <w:t xml:space="preserve">Identifier:</w:t>
      </w:r>
      <w:r>
        <w:t xml:space="preserve"> </w:t>
      </w:r>
      <w:r>
        <w:rPr>
          <w:rStyle w:val="VerbatimChar"/>
        </w:rPr>
        <w:t xml:space="preserve">meta-radenc</w:t>
      </w:r>
    </w:p>
    <w:bookmarkStart w:id="87" w:name="threshold-requirements-13"/>
    <w:p>
      <w:pPr>
        <w:pStyle w:val="berschrift5"/>
      </w:pPr>
      <w:r>
        <w:t xml:space="preserve">Threshold requirements:</w:t>
      </w:r>
    </w:p>
    <w:p>
      <w:pPr>
        <w:pStyle w:val="FirstParagraph"/>
      </w:pPr>
      <w:r>
        <w:t xml:space="preserve">Range and bit depth are provided.</w:t>
      </w:r>
    </w:p>
    <w:bookmarkEnd w:id="87"/>
    <w:bookmarkStart w:id="88" w:name="goal-requirements-13"/>
    <w:p>
      <w:pPr>
        <w:pStyle w:val="berschrift5"/>
      </w:pPr>
      <w:r>
        <w:t xml:space="preserve">Goal requirements:</w:t>
      </w:r>
    </w:p>
    <w:p>
      <w:pPr>
        <w:pStyle w:val="FirstParagraph"/>
      </w:pPr>
      <w:r>
        <w:t xml:space="preserve">As threshold.</w:t>
      </w:r>
      <w:r>
        <w:t xml:space="preserve"> </w:t>
      </w:r>
    </w:p>
    <w:bookmarkEnd w:id="88"/>
    <w:bookmarkStart w:id="89" w:name="assessment-13"/>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9"/>
    <w:bookmarkEnd w:id="90"/>
    <w:bookmarkStart w:id="94" w:name="sec:meta-malgos-ar"/>
    <w:p>
      <w:pPr>
        <w:pStyle w:val="berschrift4"/>
      </w:pPr>
      <w:r>
        <w:rPr>
          <w:rStyle w:val="VerbatimChar"/>
        </w:rPr>
        <w:t xml:space="preserve">1.15.</w:t>
      </w:r>
      <w:r>
        <w:t xml:space="preserve"> </w:t>
      </w:r>
      <w:r>
        <w:t xml:space="preserve">Algorithms</w:t>
      </w:r>
    </w:p>
    <w:p>
      <w:pPr>
        <w:pStyle w:val="FirstParagraph"/>
      </w:pPr>
      <w:r>
        <w:t xml:space="preserve">Identifier:</w:t>
      </w:r>
      <w:r>
        <w:t xml:space="preserve"> </w:t>
      </w:r>
      <w:r>
        <w:rPr>
          <w:rStyle w:val="VerbatimChar"/>
        </w:rPr>
        <w:t xml:space="preserve">meta-malgos-ar</w:t>
      </w:r>
    </w:p>
    <w:bookmarkStart w:id="91" w:name="threshold-requirements-14"/>
    <w:p>
      <w:pPr>
        <w:pStyle w:val="berschrift5"/>
      </w:pPr>
      <w:r>
        <w:t xml:space="preserve">Threshold requirements:</w:t>
      </w:r>
    </w:p>
    <w:p>
      <w:pPr>
        <w:pStyle w:val="FirstParagraph"/>
      </w:pPr>
      <w:r>
        <w:t xml:space="preserve">All algorithms and the sequence in which they were applied in the generation process are identified.</w:t>
      </w:r>
    </w:p>
    <w:p>
      <w:pPr>
        <w:pStyle w:val="Textkrper"/>
      </w:pPr>
      <w:r>
        <w:t xml:space="preserve">Algorithms must be published and validated, and a description of the validation process is included.</w:t>
      </w:r>
    </w:p>
    <w:p>
      <w:pPr>
        <w:pStyle w:val="Textkrper"/>
      </w:pPr>
      <w:r>
        <w:t xml:space="preserve">Note:</w:t>
      </w:r>
    </w:p>
    <w:p>
      <w:pPr>
        <w:pStyle w:val="Compact"/>
        <w:numPr>
          <w:ilvl w:val="0"/>
          <w:numId w:val="1020"/>
        </w:numPr>
      </w:pPr>
      <w:r>
        <w:t xml:space="preserve">It is possible that corrections are applied through non-disclosed processes. CEOS-ARD does not require full and open data and methods.</w:t>
      </w:r>
    </w:p>
    <w:bookmarkEnd w:id="91"/>
    <w:bookmarkStart w:id="92" w:name="goal-requirements-14"/>
    <w:p>
      <w:pPr>
        <w:pStyle w:val="berschrift5"/>
      </w:pPr>
      <w:r>
        <w:t xml:space="preserve">Goal requirements:</w:t>
      </w:r>
    </w:p>
    <w:p>
      <w:pPr>
        <w:pStyle w:val="FirstParagraph"/>
      </w:pPr>
      <w:r>
        <w:t xml:space="preserve">As threshold.</w:t>
      </w:r>
      <w:r>
        <w:t xml:space="preserve"> </w:t>
      </w:r>
    </w:p>
    <w:bookmarkEnd w:id="92"/>
    <w:bookmarkStart w:id="93" w:name="assessment-14"/>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93"/>
    <w:bookmarkEnd w:id="94"/>
    <w:bookmarkStart w:id="98" w:name="sec:meta-auxdat-ar"/>
    <w:p>
      <w:pPr>
        <w:pStyle w:val="berschrift4"/>
      </w:pPr>
      <w:r>
        <w:rPr>
          <w:rStyle w:val="VerbatimChar"/>
        </w:rPr>
        <w:t xml:space="preserve">1.16.</w:t>
      </w:r>
      <w:r>
        <w:t xml:space="preserve"> </w:t>
      </w:r>
      <w:r>
        <w:t xml:space="preserve">Auxiliary Data</w:t>
      </w:r>
    </w:p>
    <w:p>
      <w:pPr>
        <w:pStyle w:val="FirstParagraph"/>
      </w:pPr>
      <w:r>
        <w:t xml:space="preserve">Identifier:</w:t>
      </w:r>
      <w:r>
        <w:t xml:space="preserve"> </w:t>
      </w:r>
      <w:r>
        <w:rPr>
          <w:rStyle w:val="VerbatimChar"/>
        </w:rPr>
        <w:t xml:space="preserve">meta-auxdat-ar</w:t>
      </w:r>
    </w:p>
    <w:bookmarkStart w:id="95" w:name="threshold-requirements-15"/>
    <w:p>
      <w:pPr>
        <w:pStyle w:val="berschrift5"/>
      </w:pPr>
      <w:r>
        <w:t xml:space="preserve">Threshold requirements:</w:t>
      </w:r>
    </w:p>
    <w:p>
      <w:pPr>
        <w:pStyle w:val="FirstParagraph"/>
      </w:pPr>
      <w:r>
        <w:t xml:space="preserve">Lists the sources of auxiliary data used in the generation process.</w:t>
      </w:r>
    </w:p>
    <w:bookmarkEnd w:id="95"/>
    <w:bookmarkStart w:id="96" w:name="goal-requirements-15"/>
    <w:p>
      <w:pPr>
        <w:pStyle w:val="berschrift5"/>
      </w:pPr>
      <w:r>
        <w:t xml:space="preserve">Goal requirements:</w:t>
      </w:r>
    </w:p>
    <w:p>
      <w:pPr>
        <w:pStyle w:val="FirstParagraph"/>
      </w:pPr>
      <w:r>
        <w:t xml:space="preserve">As threshold, but information on auxiliary data should be available for free online download, contemporaneously with the product or through a link to the source.</w:t>
      </w:r>
    </w:p>
    <w:bookmarkEnd w:id="96"/>
    <w:bookmarkStart w:id="97" w:name="assessment-15"/>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97"/>
    <w:bookmarkEnd w:id="98"/>
    <w:bookmarkStart w:id="102" w:name="sec:meta-proprov-ar"/>
    <w:p>
      <w:pPr>
        <w:pStyle w:val="berschrift4"/>
      </w:pPr>
      <w:r>
        <w:rPr>
          <w:rStyle w:val="VerbatimChar"/>
        </w:rPr>
        <w:t xml:space="preserve">1.17.</w:t>
      </w:r>
      <w:r>
        <w:t xml:space="preserve"> </w:t>
      </w:r>
      <w:r>
        <w:t xml:space="preserve">Processing Chain Provenance</w:t>
      </w:r>
    </w:p>
    <w:p>
      <w:pPr>
        <w:pStyle w:val="FirstParagraph"/>
      </w:pPr>
      <w:r>
        <w:t xml:space="preserve">Identifier:</w:t>
      </w:r>
      <w:r>
        <w:t xml:space="preserve"> </w:t>
      </w:r>
      <w:r>
        <w:rPr>
          <w:rStyle w:val="VerbatimChar"/>
        </w:rPr>
        <w:t xml:space="preserve">meta-proprov-ar</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Information on processing chain provenance should be available with a detailed description of the processing steps used to generate the product, including the versions of software used, giving full transparency to the users.</w:t>
      </w:r>
    </w:p>
    <w:bookmarkEnd w:id="100"/>
    <w:bookmarkStart w:id="101" w:name="assessment-16"/>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101"/>
    <w:bookmarkEnd w:id="102"/>
    <w:bookmarkStart w:id="106" w:name="sec:meta-daccess"/>
    <w:p>
      <w:pPr>
        <w:pStyle w:val="berschrift4"/>
      </w:pPr>
      <w:r>
        <w:rPr>
          <w:rStyle w:val="VerbatimChar"/>
        </w:rPr>
        <w:t xml:space="preserve">1.18.</w:t>
      </w:r>
      <w:r>
        <w:t xml:space="preserve"> </w:t>
      </w:r>
      <w:r>
        <w:t xml:space="preserve">Data Access</w:t>
      </w:r>
    </w:p>
    <w:p>
      <w:pPr>
        <w:pStyle w:val="FirstParagraph"/>
      </w:pPr>
      <w:r>
        <w:t xml:space="preserve">Identifier:</w:t>
      </w:r>
      <w:r>
        <w:t xml:space="preserve"> </w:t>
      </w:r>
      <w:r>
        <w:rPr>
          <w:rStyle w:val="VerbatimChar"/>
        </w:rPr>
        <w:t xml:space="preserve">meta-daccess</w:t>
      </w:r>
    </w:p>
    <w:bookmarkStart w:id="103" w:name="threshold-requirements-17"/>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w:t>
      </w:r>
    </w:p>
    <w:p>
      <w:pPr>
        <w:pStyle w:val="Compact"/>
        <w:numPr>
          <w:ilvl w:val="0"/>
          <w:numId w:val="1024"/>
        </w:numPr>
      </w:pPr>
      <w:r>
        <w:t xml:space="preserve">Manual and offline interaction action (e.g., login) may be required.</w:t>
      </w:r>
    </w:p>
    <w:bookmarkEnd w:id="103"/>
    <w:bookmarkStart w:id="104" w:name="goal-requirements-17"/>
    <w:p>
      <w:pPr>
        <w:pStyle w:val="berschrift5"/>
      </w:pPr>
      <w:r>
        <w:t xml:space="preserve">Goal requirements:</w:t>
      </w:r>
    </w:p>
    <w:p>
      <w:pPr>
        <w:pStyle w:val="FirstParagraph"/>
      </w:pPr>
      <w:r>
        <w:t xml:space="preserve">As threshold.</w:t>
      </w:r>
      <w:r>
        <w:t xml:space="preserve"> </w:t>
      </w:r>
    </w:p>
    <w:bookmarkEnd w:id="104"/>
    <w:bookmarkStart w:id="105" w:name="assessment-17"/>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5"/>
    <w:bookmarkEnd w:id="106"/>
    <w:bookmarkStart w:id="110" w:name="sec:meta-valpix"/>
    <w:p>
      <w:pPr>
        <w:pStyle w:val="berschrift4"/>
      </w:pPr>
      <w:r>
        <w:rPr>
          <w:rStyle w:val="VerbatimChar"/>
        </w:rPr>
        <w:t xml:space="preserve">1.19.</w:t>
      </w:r>
      <w:r>
        <w:t xml:space="preserve"> </w:t>
      </w:r>
      <w:r>
        <w:t xml:space="preserve">Valid Pixels</w:t>
      </w:r>
    </w:p>
    <w:p>
      <w:pPr>
        <w:pStyle w:val="FirstParagraph"/>
      </w:pPr>
      <w:r>
        <w:t xml:space="preserve">Identifier:</w:t>
      </w:r>
      <w:r>
        <w:t xml:space="preserve"> </w:t>
      </w:r>
      <w:r>
        <w:rPr>
          <w:rStyle w:val="VerbatimChar"/>
        </w:rPr>
        <w:t xml:space="preserve">meta-valpix</w:t>
      </w:r>
    </w:p>
    <w:bookmarkStart w:id="107" w:name="threshold-requirements-18"/>
    <w:p>
      <w:pPr>
        <w:pStyle w:val="berschrift5"/>
      </w:pPr>
      <w:r>
        <w:t xml:space="preserve">Threshold requirements:</w:t>
      </w:r>
    </w:p>
    <w:p>
      <w:pPr>
        <w:pStyle w:val="FirstParagraph"/>
      </w:pPr>
      <w:r>
        <w:t xml:space="preserve">Percentage of valid pixels in a specified area based on the applied flags from Section </w:t>
      </w:r>
      <w:r>
        <w:t xml:space="preserve">“</w:t>
      </w:r>
      <w:hyperlink w:anchor="sec:pxl">
        <w:r>
          <w:rPr>
            <w:rStyle w:val="Hyperlink"/>
          </w:rPr>
          <w:t xml:space="preserve">Per-Pixel Metadata</w:t>
        </w:r>
      </w:hyperlink>
      <w:r>
        <w:t xml:space="preserve">”</w:t>
      </w:r>
      <w:r>
        <w:t xml:space="preserve">.</w:t>
      </w:r>
    </w:p>
    <w:bookmarkEnd w:id="107"/>
    <w:bookmarkStart w:id="108" w:name="goal-requirements-18"/>
    <w:p>
      <w:pPr>
        <w:pStyle w:val="berschrift5"/>
      </w:pPr>
      <w:r>
        <w:t xml:space="preserve">Goal requirements:</w:t>
      </w:r>
    </w:p>
    <w:p>
      <w:pPr>
        <w:pStyle w:val="FirstParagraph"/>
      </w:pPr>
      <w:r>
        <w:t xml:space="preserve">As threshold.</w:t>
      </w:r>
      <w:r>
        <w:t xml:space="preserve"> </w:t>
      </w:r>
    </w:p>
    <w:bookmarkEnd w:id="108"/>
    <w:bookmarkStart w:id="109" w:name="assessment-18"/>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9"/>
    <w:bookmarkEnd w:id="110"/>
    <w:bookmarkEnd w:id="111"/>
    <w:bookmarkStart w:id="192"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p>
      <w:pPr>
        <w:pStyle w:val="Textkrper"/>
      </w:pPr>
      <w:r>
        <w:t xml:space="preserve">Information should be available in the metadata as a single DOI landing page, which may include links to further detailed documents and references to citable peer-reviewed algorithms or technical documentation.</w:t>
      </w:r>
    </w:p>
    <w:bookmarkStart w:id="115" w:name="sec:pxl-pimemare"/>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pxl-pimemare</w:t>
      </w:r>
    </w:p>
    <w:bookmarkStart w:id="112" w:name="threshold-requirements-19"/>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12"/>
    <w:bookmarkStart w:id="113" w:name="goal-requirements-19"/>
    <w:p>
      <w:pPr>
        <w:pStyle w:val="berschrift5"/>
      </w:pPr>
      <w:r>
        <w:t xml:space="preserve">Goal requirements:</w:t>
      </w:r>
    </w:p>
    <w:p>
      <w:pPr>
        <w:pStyle w:val="FirstParagraph"/>
      </w:pPr>
      <w:r>
        <w:t xml:space="preserve">As threshold.</w:t>
      </w:r>
      <w:r>
        <w:t xml:space="preserve"> </w:t>
      </w:r>
    </w:p>
    <w:bookmarkEnd w:id="113"/>
    <w:bookmarkStart w:id="114" w:name="assessment-19"/>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114"/>
    <w:bookmarkEnd w:id="115"/>
    <w:bookmarkStart w:id="119" w:name="sec:pxl-pinodat-ar"/>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pxl-pinodat-ar</w:t>
      </w:r>
    </w:p>
    <w:bookmarkStart w:id="116" w:name="threshold-requirements-20"/>
    <w:p>
      <w:pPr>
        <w:pStyle w:val="berschrift5"/>
      </w:pPr>
      <w:r>
        <w:t xml:space="preserve">Threshold requirements:</w:t>
      </w:r>
    </w:p>
    <w:p>
      <w:pPr>
        <w:pStyle w:val="FirstParagraph"/>
      </w:pPr>
      <w:r>
        <w:t xml:space="preserve">Pixels that do not correspond to an observation (e.g., empty pixels / invalid observations / below noise floor) are masked.</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18"/>
    <w:bookmarkEnd w:id="119"/>
    <w:bookmarkStart w:id="123" w:name="sec:pxl-pixass"/>
    <w:p>
      <w:pPr>
        <w:pStyle w:val="berschrift4"/>
      </w:pPr>
      <w:r>
        <w:rPr>
          <w:rStyle w:val="VerbatimChar"/>
        </w:rPr>
        <w:t xml:space="preserve">2.3.</w:t>
      </w:r>
      <w:r>
        <w:t xml:space="preserve"> </w:t>
      </w:r>
      <w:r>
        <w:t xml:space="preserve">Per-pixel Assessment</w:t>
      </w:r>
    </w:p>
    <w:p>
      <w:pPr>
        <w:pStyle w:val="FirstParagraph"/>
      </w:pPr>
      <w:r>
        <w:t xml:space="preserve">Identifier:</w:t>
      </w:r>
      <w:r>
        <w:t xml:space="preserve"> </w:t>
      </w:r>
      <w:r>
        <w:rPr>
          <w:rStyle w:val="VerbatimChar"/>
        </w:rPr>
        <w:t xml:space="preserve">pxl-pixass</w:t>
      </w:r>
    </w:p>
    <w:bookmarkStart w:id="120" w:name="threshold-requirements-21"/>
    <w:p>
      <w:pPr>
        <w:pStyle w:val="berschrift5"/>
      </w:pPr>
      <w:r>
        <w:t xml:space="preserve">Threshold requirements:</w:t>
      </w:r>
    </w:p>
    <w:p>
      <w:pPr>
        <w:pStyle w:val="FirstParagraph"/>
      </w:pPr>
      <w:r>
        <w:t xml:space="preserve">Identifies pixels for which the per-pixel tests (below) have not all been successfully completed.</w:t>
      </w:r>
    </w:p>
    <w:p>
      <w:pPr>
        <w:pStyle w:val="Textkrper"/>
      </w:pPr>
      <w:r>
        <w:t xml:space="preserve">Note:</w:t>
      </w:r>
    </w:p>
    <w:p>
      <w:pPr>
        <w:pStyle w:val="Compact"/>
        <w:numPr>
          <w:ilvl w:val="0"/>
          <w:numId w:val="1029"/>
        </w:numPr>
      </w:pPr>
      <w:r>
        <w:t xml:space="preserve">This may be the result of missing ancillary data for a subset of the pixels.</w:t>
      </w:r>
    </w:p>
    <w:bookmarkEnd w:id="120"/>
    <w:bookmarkStart w:id="121" w:name="goal-requirements-21"/>
    <w:p>
      <w:pPr>
        <w:pStyle w:val="berschrift5"/>
      </w:pPr>
      <w:r>
        <w:t xml:space="preserve">Goal requirements:</w:t>
      </w:r>
    </w:p>
    <w:p>
      <w:pPr>
        <w:pStyle w:val="FirstParagraph"/>
      </w:pPr>
      <w:r>
        <w:t xml:space="preserve">Identifies which tests have and have not been successfully completed for each pixel.</w:t>
      </w:r>
    </w:p>
    <w:bookmarkEnd w:id="121"/>
    <w:bookmarkStart w:id="122" w:name="assessment-21"/>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22"/>
    <w:bookmarkEnd w:id="123"/>
    <w:bookmarkStart w:id="127" w:name="sec:pxl-pisatur-ar"/>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pxl-pisatur-ar</w:t>
      </w:r>
    </w:p>
    <w:bookmarkStart w:id="124" w:name="threshold-requirements-22"/>
    <w:p>
      <w:pPr>
        <w:pStyle w:val="berschrift5"/>
      </w:pPr>
      <w:r>
        <w:t xml:space="preserve">Threshold requirements:</w:t>
      </w:r>
    </w:p>
    <w:p>
      <w:pPr>
        <w:pStyle w:val="FirstParagraph"/>
      </w:pPr>
      <w:r>
        <w:t xml:space="preserve">Specification of whether there is pixel radiometric saturation at Level 1 in one or more spectral bands.</w:t>
      </w:r>
    </w:p>
    <w:bookmarkEnd w:id="124"/>
    <w:bookmarkStart w:id="125" w:name="goal-requirements-22"/>
    <w:p>
      <w:pPr>
        <w:pStyle w:val="berschrift5"/>
      </w:pPr>
      <w:r>
        <w:t xml:space="preserve">Goal requirements:</w:t>
      </w:r>
    </w:p>
    <w:p>
      <w:pPr>
        <w:pStyle w:val="FirstParagraph"/>
      </w:pPr>
      <w:r>
        <w:t xml:space="preserve">As threshold, with specification of which pixels are radiometrically saturated for each spectral band.</w:t>
      </w:r>
    </w:p>
    <w:bookmarkEnd w:id="125"/>
    <w:bookmarkStart w:id="126" w:name="assessment-22"/>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26"/>
    <w:bookmarkEnd w:id="127"/>
    <w:bookmarkStart w:id="131" w:name="sec:pxl-picloud-ar"/>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pxl-picloud-ar</w:t>
      </w:r>
    </w:p>
    <w:bookmarkStart w:id="128" w:name="threshold-requirements-23"/>
    <w:p>
      <w:pPr>
        <w:pStyle w:val="berschrift5"/>
      </w:pPr>
      <w:r>
        <w:t xml:space="preserve">Threshold requirements:</w:t>
      </w:r>
    </w:p>
    <w:p>
      <w:pPr>
        <w:pStyle w:val="FirstParagraph"/>
      </w:pPr>
      <w:r>
        <w:t xml:space="preserve">Specification of whether a pixel is cloud or cloud-affected.</w:t>
      </w:r>
    </w:p>
    <w:bookmarkEnd w:id="128"/>
    <w:bookmarkStart w:id="129" w:name="goal-requirements-23"/>
    <w:p>
      <w:pPr>
        <w:pStyle w:val="berschrift5"/>
      </w:pPr>
      <w:r>
        <w:t xml:space="preserve">Goal requirements:</w:t>
      </w:r>
    </w:p>
    <w:p>
      <w:pPr>
        <w:pStyle w:val="FirstParagraph"/>
      </w:pPr>
      <w:r>
        <w:t xml:space="preserve">As threshold, but clouds and cirrus clouds are differentiated.</w:t>
      </w:r>
    </w:p>
    <w:p>
      <w:pPr>
        <w:pStyle w:val="Textkrper"/>
      </w:pPr>
      <w:r>
        <w:t xml:space="preserve">Note:</w:t>
      </w:r>
    </w:p>
    <w:p>
      <w:pPr>
        <w:pStyle w:val="Compact"/>
        <w:numPr>
          <w:ilvl w:val="0"/>
          <w:numId w:val="1032"/>
        </w:numPr>
      </w:pPr>
      <w:r>
        <w:t xml:space="preserve">See</w:t>
      </w:r>
      <w:r>
        <w:t xml:space="preserve"> </w:t>
      </w:r>
      <w:r>
        <w:t xml:space="preserve">Foga et al. (</w:t>
      </w:r>
      <w:hyperlink w:anchor="ref-foga2017">
        <w:r>
          <w:rPr>
            <w:rStyle w:val="Hyperlink"/>
          </w:rPr>
          <w:t xml:space="preserve">2017</w:t>
        </w:r>
      </w:hyperlink>
      <w:r>
        <w:t xml:space="preserve">)</w:t>
      </w:r>
      <w:r>
        <w:t xml:space="preserve">,</w:t>
      </w:r>
      <w:r>
        <w:t xml:space="preserve"> </w:t>
      </w:r>
      <w:r>
        <w:t xml:space="preserve">Skakun et al. (</w:t>
      </w:r>
      <w:hyperlink w:anchor="ref-skakun2022">
        <w:r>
          <w:rPr>
            <w:rStyle w:val="Hyperlink"/>
          </w:rPr>
          <w:t xml:space="preserve">2022</w:t>
        </w:r>
      </w:hyperlink>
      <w:r>
        <w:t xml:space="preserve">)</w:t>
      </w:r>
      <w:r>
        <w:t xml:space="preserve">,</w:t>
      </w:r>
      <w:r>
        <w:t xml:space="preserve"> </w:t>
      </w:r>
      <w:r>
        <w:t xml:space="preserve">Zhu and Woodcock (</w:t>
      </w:r>
      <w:hyperlink w:anchor="ref-zhu2012">
        <w:r>
          <w:rPr>
            <w:rStyle w:val="Hyperlink"/>
          </w:rPr>
          <w:t xml:space="preserve">2012</w:t>
        </w:r>
      </w:hyperlink>
      <w:r>
        <w:t xml:space="preserve">)</w:t>
      </w:r>
      <w:r>
        <w:t xml:space="preserve">, and</w:t>
      </w:r>
      <w:r>
        <w:t xml:space="preserve"> </w:t>
      </w:r>
      <w:r>
        <w:t xml:space="preserve">Zhu, Wang, and Woodcock (</w:t>
      </w:r>
      <w:hyperlink w:anchor="ref-zhu2015">
        <w:r>
          <w:rPr>
            <w:rStyle w:val="Hyperlink"/>
          </w:rPr>
          <w:t xml:space="preserve">2015</w:t>
        </w:r>
      </w:hyperlink>
      <w:r>
        <w:t xml:space="preserve">)</w:t>
      </w:r>
      <w:r>
        <w:t xml:space="preserve">.</w:t>
      </w:r>
    </w:p>
    <w:bookmarkEnd w:id="129"/>
    <w:bookmarkStart w:id="130" w:name="assessment-23"/>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30"/>
    <w:bookmarkEnd w:id="131"/>
    <w:bookmarkStart w:id="135" w:name="sec:pxl-picloudsh-ar"/>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pxl-picloudsh-ar</w:t>
      </w:r>
    </w:p>
    <w:bookmarkStart w:id="132" w:name="threshold-requirements-24"/>
    <w:p>
      <w:pPr>
        <w:pStyle w:val="berschrift5"/>
      </w:pPr>
      <w:r>
        <w:t xml:space="preserve">Threshold requirements:</w:t>
      </w:r>
    </w:p>
    <w:p>
      <w:pPr>
        <w:pStyle w:val="FirstParagraph"/>
      </w:pPr>
      <w:r>
        <w:t xml:space="preserve">Specification of whether a pixel is cloud shadow or cloud shadow-affected.</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34"/>
    <w:bookmarkEnd w:id="135"/>
    <w:bookmarkStart w:id="139" w:name="sec:pxl-lawama-ar"/>
    <w:p>
      <w:pPr>
        <w:pStyle w:val="berschrift4"/>
      </w:pPr>
      <w:r>
        <w:rPr>
          <w:rStyle w:val="VerbatimChar"/>
        </w:rPr>
        <w:t xml:space="preserve">2.7.</w:t>
      </w:r>
      <w:r>
        <w:t xml:space="preserve"> </w:t>
      </w:r>
      <w:r>
        <w:t xml:space="preserve">Land</w:t>
      </w:r>
    </w:p>
    <w:p>
      <w:pPr>
        <w:pStyle w:val="FirstParagraph"/>
      </w:pPr>
      <w:r>
        <w:t xml:space="preserve">Identifier:</w:t>
      </w:r>
      <w:r>
        <w:t xml:space="preserve"> </w:t>
      </w:r>
      <w:r>
        <w:rPr>
          <w:rStyle w:val="VerbatimChar"/>
        </w:rPr>
        <w:t xml:space="preserve">pxl-lawama-ar</w:t>
      </w:r>
    </w:p>
    <w:bookmarkStart w:id="136" w:name="threshold-requirements-25"/>
    <w:p>
      <w:pPr>
        <w:pStyle w:val="berschrift5"/>
      </w:pPr>
      <w:r>
        <w:t xml:space="preserve">Threshold requirements:</w:t>
      </w:r>
    </w:p>
    <w:p>
      <w:pPr>
        <w:pStyle w:val="FirstParagraph"/>
      </w:pPr>
      <w:r>
        <w:t xml:space="preserve">Specification of whether a pixel is less than 100% water covered due to land.</w:t>
      </w:r>
    </w:p>
    <w:p>
      <w:pPr>
        <w:pStyle w:val="Textkrper"/>
      </w:pPr>
      <w:r>
        <w:t xml:space="preserve">Note:</w:t>
      </w:r>
    </w:p>
    <w:p>
      <w:pPr>
        <w:pStyle w:val="Compact"/>
        <w:numPr>
          <w:ilvl w:val="0"/>
          <w:numId w:val="1035"/>
        </w:numPr>
      </w:pPr>
      <w:r>
        <w:t xml:space="preserve">See</w:t>
      </w:r>
      <w:r>
        <w:t xml:space="preserve"> </w:t>
      </w:r>
      <w:r>
        <w:t xml:space="preserve">Jones (</w:t>
      </w:r>
      <w:hyperlink w:anchor="ref-jones2019">
        <w:r>
          <w:rPr>
            <w:rStyle w:val="Hyperlink"/>
          </w:rPr>
          <w:t xml:space="preserve">2019</w:t>
        </w:r>
      </w:hyperlink>
      <w:r>
        <w:t xml:space="preserve">)</w:t>
      </w:r>
      <w:r>
        <w:t xml:space="preserve">,</w:t>
      </w:r>
      <w:r>
        <w:t xml:space="preserve"> </w:t>
      </w:r>
      <w:r>
        <w:t xml:space="preserve">Mikelsons et al. (</w:t>
      </w:r>
      <w:hyperlink w:anchor="ref-mikelsons2021">
        <w:r>
          <w:rPr>
            <w:rStyle w:val="Hyperlink"/>
          </w:rPr>
          <w:t xml:space="preserve">2021</w:t>
        </w:r>
      </w:hyperlink>
      <w:r>
        <w:t xml:space="preserve">)</w:t>
      </w:r>
      <w:r>
        <w:t xml:space="preserve">, and</w:t>
      </w:r>
      <w:r>
        <w:t xml:space="preserve"> </w:t>
      </w:r>
      <w:r>
        <w:t xml:space="preserve">Pekel et al. (</w:t>
      </w:r>
      <w:hyperlink w:anchor="ref-pekel2016">
        <w:r>
          <w:rPr>
            <w:rStyle w:val="Hyperlink"/>
          </w:rPr>
          <w:t xml:space="preserve">2016</w:t>
        </w:r>
      </w:hyperlink>
      <w:r>
        <w:t xml:space="preserve">)</w:t>
      </w:r>
      <w:r>
        <w:t xml:space="preserve">.</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38"/>
    <w:bookmarkEnd w:id="139"/>
    <w:bookmarkStart w:id="143" w:name="sec:pxl-pice"/>
    <w:p>
      <w:pPr>
        <w:pStyle w:val="berschrift4"/>
      </w:pPr>
      <w:r>
        <w:rPr>
          <w:rStyle w:val="VerbatimChar"/>
        </w:rPr>
        <w:t xml:space="preserve">2.8.</w:t>
      </w:r>
      <w:r>
        <w:t xml:space="preserve"> </w:t>
      </w:r>
      <w:r>
        <w:t xml:space="preserve">Ice</w:t>
      </w:r>
    </w:p>
    <w:p>
      <w:pPr>
        <w:pStyle w:val="FirstParagraph"/>
      </w:pPr>
      <w:r>
        <w:t xml:space="preserve">Identifier:</w:t>
      </w:r>
      <w:r>
        <w:t xml:space="preserve"> </w:t>
      </w:r>
      <w:r>
        <w:rPr>
          <w:rStyle w:val="VerbatimChar"/>
        </w:rPr>
        <w:t xml:space="preserve">pxl-pice</w:t>
      </w:r>
    </w:p>
    <w:bookmarkStart w:id="140" w:name="threshold-requirements-26"/>
    <w:p>
      <w:pPr>
        <w:pStyle w:val="berschrift5"/>
      </w:pPr>
      <w:r>
        <w:t xml:space="preserve">Threshold requirements:</w:t>
      </w:r>
    </w:p>
    <w:p>
      <w:pPr>
        <w:pStyle w:val="FirstParagraph"/>
      </w:pPr>
      <w:r>
        <w:t xml:space="preserve">Specification of whether a pixel is ice or ice-affected.</w:t>
      </w:r>
    </w:p>
    <w:p>
      <w:pPr>
        <w:pStyle w:val="Textkrper"/>
      </w:pPr>
      <w:r>
        <w:t xml:space="preserve">Note:</w:t>
      </w:r>
    </w:p>
    <w:p>
      <w:pPr>
        <w:pStyle w:val="Compact"/>
        <w:numPr>
          <w:ilvl w:val="0"/>
          <w:numId w:val="1037"/>
        </w:numPr>
      </w:pPr>
      <w:r>
        <w:t xml:space="preserve">See</w:t>
      </w:r>
      <w:r>
        <w:t xml:space="preserve"> </w:t>
      </w:r>
      <w:r>
        <w:t xml:space="preserve">Dworak et al. (</w:t>
      </w:r>
      <w:hyperlink w:anchor="ref-dworak2021">
        <w:r>
          <w:rPr>
            <w:rStyle w:val="Hyperlink"/>
          </w:rPr>
          <w:t xml:space="preserve">2021</w:t>
        </w:r>
      </w:hyperlink>
      <w:r>
        <w:t xml:space="preserve">)</w:t>
      </w:r>
      <w:r>
        <w:t xml:space="preserve">,</w:t>
      </w:r>
      <w:r>
        <w:t xml:space="preserve"> </w:t>
      </w:r>
      <w:r>
        <w:t xml:space="preserve">Liu and Key (</w:t>
      </w:r>
      <w:hyperlink w:anchor="ref-liu2019">
        <w:r>
          <w:rPr>
            <w:rStyle w:val="Hyperlink"/>
          </w:rPr>
          <w:t xml:space="preserve">2015</w:t>
        </w:r>
      </w:hyperlink>
      <w:r>
        <w:t xml:space="preserve">)</w:t>
      </w:r>
      <w:r>
        <w:t xml:space="preserve">,</w:t>
      </w:r>
      <w:r>
        <w:t xml:space="preserve"> </w:t>
      </w:r>
      <w:r>
        <w:t xml:space="preserve">Liu, Key, and Mahoney (</w:t>
      </w:r>
      <w:hyperlink w:anchor="ref-liu2016">
        <w:r>
          <w:rPr>
            <w:rStyle w:val="Hyperlink"/>
          </w:rPr>
          <w:t xml:space="preserve">2016</w:t>
        </w:r>
      </w:hyperlink>
      <w:r>
        <w:t xml:space="preserve">)</w:t>
      </w:r>
      <w:r>
        <w:t xml:space="preserve">,</w:t>
      </w:r>
      <w:r>
        <w:t xml:space="preserve"> </w:t>
      </w:r>
      <w:r>
        <w:t xml:space="preserve">Robinson et al. (</w:t>
      </w:r>
      <w:hyperlink w:anchor="ref-robinson2003">
        <w:r>
          <w:rPr>
            <w:rStyle w:val="Hyperlink"/>
          </w:rPr>
          <w:t xml:space="preserve">2003</w:t>
        </w:r>
      </w:hyperlink>
      <w:r>
        <w:t xml:space="preserve">)</w:t>
      </w:r>
      <w:r>
        <w:t xml:space="preserve">,</w:t>
      </w:r>
      <w:r>
        <w:t xml:space="preserve"> </w:t>
      </w:r>
      <w:r>
        <w:t xml:space="preserve">Bourg (</w:t>
      </w:r>
      <w:hyperlink w:anchor="ref-bourg2014">
        <w:r>
          <w:rPr>
            <w:rStyle w:val="Hyperlink"/>
          </w:rPr>
          <w:t xml:space="preserve">2014</w:t>
        </w:r>
      </w:hyperlink>
      <w:r>
        <w:t xml:space="preserve">)</w:t>
      </w:r>
      <w:r>
        <w:t xml:space="preserve">, and</w:t>
      </w:r>
      <w:r>
        <w:t xml:space="preserve"> </w:t>
      </w:r>
      <w:r>
        <w:t xml:space="preserve">Heinilä, Kirsikka and Metsämäki, Sari and Mattila, Olli-Pekka (</w:t>
      </w:r>
      <w:hyperlink w:anchor="ref-heinila2018">
        <w:r>
          <w:rPr>
            <w:rStyle w:val="Hyperlink"/>
          </w:rPr>
          <w:t xml:space="preserve">2018</w:t>
        </w:r>
      </w:hyperlink>
      <w:r>
        <w:t xml:space="preserve">)</w:t>
      </w:r>
      <w:r>
        <w:t xml:space="preserv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42"/>
    <w:bookmarkEnd w:id="143"/>
    <w:bookmarkStart w:id="147" w:name="sec:pxl-pisungli"/>
    <w:p>
      <w:pPr>
        <w:pStyle w:val="berschrift4"/>
      </w:pPr>
      <w:r>
        <w:rPr>
          <w:rStyle w:val="VerbatimChar"/>
        </w:rPr>
        <w:t xml:space="preserve">2.9.</w:t>
      </w:r>
      <w:r>
        <w:t xml:space="preserve"> </w:t>
      </w:r>
      <w:r>
        <w:t xml:space="preserve">Sun Glint</w:t>
      </w:r>
    </w:p>
    <w:p>
      <w:pPr>
        <w:pStyle w:val="FirstParagraph"/>
      </w:pPr>
      <w:r>
        <w:t xml:space="preserve">Identifier:</w:t>
      </w:r>
      <w:r>
        <w:t xml:space="preserve"> </w:t>
      </w:r>
      <w:r>
        <w:rPr>
          <w:rStyle w:val="VerbatimChar"/>
        </w:rPr>
        <w:t xml:space="preserve">pxl-pisungli</w:t>
      </w:r>
    </w:p>
    <w:bookmarkStart w:id="144" w:name="threshold-requirements-27"/>
    <w:p>
      <w:pPr>
        <w:pStyle w:val="berschrift5"/>
      </w:pPr>
      <w:r>
        <w:t xml:space="preserve">Threshold requirements:</w:t>
      </w:r>
    </w:p>
    <w:p>
      <w:pPr>
        <w:pStyle w:val="FirstParagraph"/>
      </w:pPr>
      <w:r>
        <w:t xml:space="preserve">Specification of whether sun glint in a pixel is negligible, correctable (moderate), or uncorrectable (severe).</w:t>
      </w:r>
    </w:p>
    <w:p>
      <w:pPr>
        <w:pStyle w:val="Textkrper"/>
      </w:pPr>
      <w:r>
        <w:t xml:space="preserve">Notes:</w:t>
      </w:r>
    </w:p>
    <w:p>
      <w:pPr>
        <w:pStyle w:val="Compact"/>
        <w:numPr>
          <w:ilvl w:val="0"/>
          <w:numId w:val="1039"/>
        </w:numPr>
      </w:pPr>
      <w:r>
        <w:t xml:space="preserve">Sun glint is deemed uncorrectable if the upper limit of the dynamic range of a sensor’s spectral band is reached (i.e., radiometric saturation occurs).</w:t>
      </w:r>
    </w:p>
    <w:p>
      <w:pPr>
        <w:pStyle w:val="Compact"/>
        <w:numPr>
          <w:ilvl w:val="0"/>
          <w:numId w:val="1039"/>
        </w:numPr>
      </w:pPr>
      <w:r>
        <w:t xml:space="preserve">See</w:t>
      </w:r>
      <w:r>
        <w:t xml:space="preserve"> </w:t>
      </w:r>
      <w:r>
        <w:t xml:space="preserve">Botha, Brando, and Dekker (</w:t>
      </w:r>
      <w:hyperlink w:anchor="ref-botha2016">
        <w:r>
          <w:rPr>
            <w:rStyle w:val="Hyperlink"/>
          </w:rPr>
          <w:t xml:space="preserve">2016</w:t>
        </w:r>
      </w:hyperlink>
      <w:r>
        <w:t xml:space="preserve">)</w:t>
      </w:r>
      <w:r>
        <w:t xml:space="preserve">,</w:t>
      </w:r>
      <w:r>
        <w:t xml:space="preserve"> </w:t>
      </w:r>
      <w:r>
        <w:t xml:space="preserve">Kay, Hedley, and Lavender (</w:t>
      </w:r>
      <w:hyperlink w:anchor="ref-kay2013">
        <w:r>
          <w:rPr>
            <w:rStyle w:val="Hyperlink"/>
          </w:rPr>
          <w:t xml:space="preserve">2013</w:t>
        </w:r>
      </w:hyperlink>
      <w:r>
        <w:t xml:space="preserve">)</w:t>
      </w:r>
      <w:r>
        <w:t xml:space="preserve">, and</w:t>
      </w:r>
      <w:r>
        <w:t xml:space="preserve"> </w:t>
      </w:r>
      <w:r>
        <w:t xml:space="preserve">Bourg (</w:t>
      </w:r>
      <w:hyperlink w:anchor="ref-bourg2014">
        <w:r>
          <w:rPr>
            <w:rStyle w:val="Hyperlink"/>
          </w:rPr>
          <w:t xml:space="preserve">2014</w:t>
        </w:r>
      </w:hyperlink>
      <w:r>
        <w:t xml:space="preserve">)</w:t>
      </w:r>
      <w:r>
        <w:t xml:space="preserve">.</w:t>
      </w:r>
    </w:p>
    <w:bookmarkEnd w:id="144"/>
    <w:bookmarkStart w:id="145" w:name="goal-requirements-27"/>
    <w:p>
      <w:pPr>
        <w:pStyle w:val="berschrift5"/>
      </w:pPr>
      <w:r>
        <w:t xml:space="preserve">Goal requirements:</w:t>
      </w:r>
    </w:p>
    <w:p>
      <w:pPr>
        <w:pStyle w:val="FirstParagraph"/>
      </w:pPr>
      <w:r>
        <w:t xml:space="preserve">Specification of the amount of sun glint for each pixel and spectral band.</w:t>
      </w:r>
    </w:p>
    <w:p>
      <w:pPr>
        <w:pStyle w:val="Textkrper"/>
      </w:pPr>
      <w:r>
        <w:t xml:space="preserve">Notes:</w:t>
      </w:r>
    </w:p>
    <w:p>
      <w:pPr>
        <w:pStyle w:val="Compact"/>
        <w:numPr>
          <w:ilvl w:val="0"/>
          <w:numId w:val="1040"/>
        </w:numPr>
      </w:pPr>
      <w:r>
        <w:t xml:space="preserve">An additional product must be provided to specify the amount.</w:t>
      </w:r>
    </w:p>
    <w:p>
      <w:pPr>
        <w:pStyle w:val="Compact"/>
        <w:numPr>
          <w:ilvl w:val="0"/>
          <w:numId w:val="1040"/>
        </w:numPr>
      </w:pPr>
      <w:r>
        <w:t xml:space="preserve">See Section </w:t>
      </w:r>
      <w:r>
        <w:t xml:space="preserve">“</w:t>
      </w:r>
      <w:hyperlink w:anchor="sec:pral-cosungli">
        <w:r>
          <w:rPr>
            <w:rStyle w:val="Hyperlink"/>
          </w:rPr>
          <w:t xml:space="preserve">Products and Algorithms: Sun Glint Correction</w:t>
        </w:r>
      </w:hyperlink>
      <w:r>
        <w:t xml:space="preserve">”</w:t>
      </w:r>
      <w:r>
        <w:t xml:space="preserve"> </w:t>
      </w:r>
      <w:r>
        <w:t xml:space="preserve">and</w:t>
      </w:r>
      <w:r>
        <w:t xml:space="preserve"> </w:t>
      </w:r>
      <w:r>
        <w:t xml:space="preserve">Fink (</w:t>
      </w:r>
      <w:hyperlink w:anchor="ref-fink2014">
        <w:r>
          <w:rPr>
            <w:rStyle w:val="Hyperlink"/>
          </w:rPr>
          <w:t xml:space="preserve">2014</w:t>
        </w:r>
      </w:hyperlink>
      <w:r>
        <w:t xml:space="preserve">)</w:t>
      </w:r>
      <w:r>
        <w:t xml:space="preserve">.</w:t>
      </w:r>
    </w:p>
    <w:bookmarkEnd w:id="145"/>
    <w:bookmarkStart w:id="146" w:name="assessment-27"/>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6"/>
    <w:bookmarkEnd w:id="147"/>
    <w:bookmarkStart w:id="151" w:name="sec:pxl-piskygli"/>
    <w:p>
      <w:pPr>
        <w:pStyle w:val="berschrift4"/>
      </w:pPr>
      <w:r>
        <w:rPr>
          <w:rStyle w:val="VerbatimChar"/>
        </w:rPr>
        <w:t xml:space="preserve">2.10.</w:t>
      </w:r>
      <w:r>
        <w:t xml:space="preserve"> </w:t>
      </w:r>
      <w:r>
        <w:t xml:space="preserve">Sky Glint</w:t>
      </w:r>
    </w:p>
    <w:p>
      <w:pPr>
        <w:pStyle w:val="FirstParagraph"/>
      </w:pPr>
      <w:r>
        <w:t xml:space="preserve">Identifier:</w:t>
      </w:r>
      <w:r>
        <w:t xml:space="preserve"> </w:t>
      </w:r>
      <w:r>
        <w:rPr>
          <w:rStyle w:val="VerbatimChar"/>
        </w:rPr>
        <w:t xml:space="preserve">pxl-piskygli</w:t>
      </w:r>
    </w:p>
    <w:bookmarkStart w:id="148" w:name="threshold-requirements-28"/>
    <w:p>
      <w:pPr>
        <w:pStyle w:val="berschrift5"/>
      </w:pPr>
      <w:r>
        <w:t xml:space="preserve">Threshold requirements:</w:t>
      </w:r>
    </w:p>
    <w:p>
      <w:pPr>
        <w:pStyle w:val="FirstParagraph"/>
      </w:pPr>
      <w:r>
        <w:t xml:space="preserve">Not required.</w:t>
      </w:r>
      <w:r>
        <w:t xml:space="preserve"> </w:t>
      </w:r>
    </w:p>
    <w:bookmarkEnd w:id="148"/>
    <w:bookmarkStart w:id="149" w:name="goal-requirements-28"/>
    <w:p>
      <w:pPr>
        <w:pStyle w:val="berschrift5"/>
      </w:pPr>
      <w:r>
        <w:t xml:space="preserve">Goal requirements:</w:t>
      </w:r>
    </w:p>
    <w:p>
      <w:pPr>
        <w:pStyle w:val="FirstParagraph"/>
      </w:pPr>
      <w:r>
        <w:t xml:space="preserve">Specification of the amount of sky glint for each pixel and spectral band.</w:t>
      </w:r>
    </w:p>
    <w:p>
      <w:pPr>
        <w:pStyle w:val="Textkrper"/>
      </w:pPr>
      <w:r>
        <w:t xml:space="preserve">Notes:</w:t>
      </w:r>
    </w:p>
    <w:p>
      <w:pPr>
        <w:pStyle w:val="Compact"/>
        <w:numPr>
          <w:ilvl w:val="0"/>
          <w:numId w:val="1042"/>
        </w:numPr>
      </w:pPr>
      <w:r>
        <w:t xml:space="preserve">An additional product must be provided to specify the amount.</w:t>
      </w:r>
    </w:p>
    <w:p>
      <w:pPr>
        <w:pStyle w:val="Compact"/>
        <w:numPr>
          <w:ilvl w:val="0"/>
          <w:numId w:val="1042"/>
        </w:numPr>
      </w:pPr>
      <w:r>
        <w:t xml:space="preserve">Sky glint is the at-water-surface reflected component of the diffuse downwelling irradiance.</w:t>
      </w:r>
    </w:p>
    <w:p>
      <w:pPr>
        <w:pStyle w:val="Compact"/>
        <w:numPr>
          <w:ilvl w:val="0"/>
          <w:numId w:val="1042"/>
        </w:numPr>
      </w:pPr>
      <w:r>
        <w:t xml:space="preserve">See Section </w:t>
      </w:r>
      <w:r>
        <w:t xml:space="preserve">“</w:t>
      </w:r>
      <w:hyperlink w:anchor="sec:pral-coskygli">
        <w:r>
          <w:rPr>
            <w:rStyle w:val="Hyperlink"/>
          </w:rPr>
          <w:t xml:space="preserve">Products and Algorithms: Sky Glint Correction</w:t>
        </w:r>
      </w:hyperlink>
      <w:r>
        <w:t xml:space="preserve">”</w:t>
      </w:r>
      <w:r>
        <w:t xml:space="preserve">,</w:t>
      </w:r>
      <w:r>
        <w:t xml:space="preserve"> </w:t>
      </w:r>
      <w:r>
        <w:t xml:space="preserve">Reusen et al. (</w:t>
      </w:r>
      <w:hyperlink w:anchor="ref-reusen2023">
        <w:r>
          <w:rPr>
            <w:rStyle w:val="Hyperlink"/>
          </w:rPr>
          <w:t xml:space="preserve">2023</w:t>
        </w:r>
      </w:hyperlink>
      <w:r>
        <w:t xml:space="preserve">)</w:t>
      </w:r>
      <w:r>
        <w:t xml:space="preserve">, and</w:t>
      </w:r>
      <w:r>
        <w:t xml:space="preserve"> </w:t>
      </w:r>
      <w:r>
        <w:t xml:space="preserve">Fink (</w:t>
      </w:r>
      <w:hyperlink w:anchor="ref-fink2014">
        <w:r>
          <w:rPr>
            <w:rStyle w:val="Hyperlink"/>
          </w:rPr>
          <w:t xml:space="preserve">2014</w:t>
        </w:r>
      </w:hyperlink>
      <w:r>
        <w:t xml:space="preserve">)</w:t>
      </w:r>
      <w:r>
        <w:t xml:space="preserve">.</w:t>
      </w:r>
    </w:p>
    <w:bookmarkEnd w:id="149"/>
    <w:bookmarkStart w:id="150" w:name="assessment-28"/>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50"/>
    <w:bookmarkEnd w:id="151"/>
    <w:bookmarkStart w:id="155" w:name="sec:pxl-vigeso-ar"/>
    <w:p>
      <w:pPr>
        <w:pStyle w:val="berschrift4"/>
      </w:pPr>
      <w:r>
        <w:rPr>
          <w:rStyle w:val="VerbatimChar"/>
        </w:rPr>
        <w:t xml:space="preserve">2.11.</w:t>
      </w:r>
      <w:r>
        <w:t xml:space="preserve"> </w:t>
      </w:r>
      <w:r>
        <w:t xml:space="preserve">Solar and Viewing Geometry</w:t>
      </w:r>
    </w:p>
    <w:p>
      <w:pPr>
        <w:pStyle w:val="FirstParagraph"/>
      </w:pPr>
      <w:r>
        <w:t xml:space="preserve">Identifier:</w:t>
      </w:r>
      <w:r>
        <w:t xml:space="preserve"> </w:t>
      </w:r>
      <w:r>
        <w:rPr>
          <w:rStyle w:val="VerbatimChar"/>
        </w:rPr>
        <w:t xml:space="preserve">pxl-vigeso-ar</w:t>
      </w:r>
    </w:p>
    <w:bookmarkStart w:id="152" w:name="threshold-requirements-29"/>
    <w:p>
      <w:pPr>
        <w:pStyle w:val="berschrift5"/>
      </w:pPr>
      <w:r>
        <w:t xml:space="preserve">Threshold requirements:</w:t>
      </w:r>
    </w:p>
    <w:p>
      <w:pPr>
        <w:pStyle w:val="FirstParagraph"/>
      </w:pPr>
      <w:r>
        <w:t xml:space="preserve">Specification of the solar and sensor viewing azimuth and zenith angles.</w:t>
      </w:r>
    </w:p>
    <w:bookmarkEnd w:id="152"/>
    <w:bookmarkStart w:id="153" w:name="goal-requirements-29"/>
    <w:p>
      <w:pPr>
        <w:pStyle w:val="berschrift5"/>
      </w:pPr>
      <w:r>
        <w:t xml:space="preserve">Goal requirements:</w:t>
      </w:r>
    </w:p>
    <w:p>
      <w:pPr>
        <w:pStyle w:val="FirstParagraph"/>
      </w:pPr>
      <w:r>
        <w:t xml:space="preserve">As threshold.</w:t>
      </w:r>
      <w:r>
        <w:t xml:space="preserve"> </w:t>
      </w:r>
    </w:p>
    <w:bookmarkEnd w:id="153"/>
    <w:bookmarkStart w:id="154" w:name="assessment-29"/>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4"/>
    <w:bookmarkEnd w:id="155"/>
    <w:bookmarkStart w:id="159" w:name="sec:pxl-piwhifo"/>
    <w:p>
      <w:pPr>
        <w:pStyle w:val="berschrift4"/>
      </w:pPr>
      <w:r>
        <w:rPr>
          <w:rStyle w:val="VerbatimChar"/>
        </w:rPr>
        <w:t xml:space="preserve">2.12.</w:t>
      </w:r>
      <w:r>
        <w:t xml:space="preserve"> </w:t>
      </w:r>
      <w:r>
        <w:t xml:space="preserve">Whitecap / Foam</w:t>
      </w:r>
    </w:p>
    <w:p>
      <w:pPr>
        <w:pStyle w:val="FirstParagraph"/>
      </w:pPr>
      <w:r>
        <w:t xml:space="preserve">Identifier:</w:t>
      </w:r>
      <w:r>
        <w:t xml:space="preserve"> </w:t>
      </w:r>
      <w:r>
        <w:rPr>
          <w:rStyle w:val="VerbatimChar"/>
        </w:rPr>
        <w:t xml:space="preserve">pxl-piwhifo</w:t>
      </w:r>
    </w:p>
    <w:bookmarkStart w:id="156" w:name="threshold-requirements-30"/>
    <w:p>
      <w:pPr>
        <w:pStyle w:val="berschrift5"/>
      </w:pPr>
      <w:r>
        <w:t xml:space="preserve">Threshold requirements:</w:t>
      </w:r>
    </w:p>
    <w:p>
      <w:pPr>
        <w:pStyle w:val="FirstParagraph"/>
      </w:pPr>
      <w:r>
        <w:t xml:space="preserve">Not required.</w:t>
      </w:r>
      <w:r>
        <w:t xml:space="preserve"> </w:t>
      </w:r>
    </w:p>
    <w:bookmarkEnd w:id="156"/>
    <w:bookmarkStart w:id="157" w:name="goal-requirements-30"/>
    <w:p>
      <w:pPr>
        <w:pStyle w:val="berschrift5"/>
      </w:pPr>
      <w:r>
        <w:t xml:space="preserve">Goal requirements:</w:t>
      </w:r>
    </w:p>
    <w:p>
      <w:pPr>
        <w:pStyle w:val="FirstParagraph"/>
      </w:pPr>
      <w:r>
        <w:t xml:space="preserve">Specification of whether a pixel is affected by whitecaps or foam.</w:t>
      </w:r>
      <w:r>
        <w:t xml:space="preserve"> </w:t>
      </w:r>
      <w:r>
        <w:t xml:space="preserve">If affected, detail the method applied.</w:t>
      </w:r>
    </w:p>
    <w:p>
      <w:pPr>
        <w:pStyle w:val="Textkrper"/>
      </w:pPr>
      <w:r>
        <w:t xml:space="preserve">Note:</w:t>
      </w:r>
    </w:p>
    <w:p>
      <w:pPr>
        <w:pStyle w:val="Compact"/>
        <w:numPr>
          <w:ilvl w:val="0"/>
          <w:numId w:val="1045"/>
        </w:numPr>
      </w:pPr>
      <w:r>
        <w:t xml:space="preserve">See Section </w:t>
      </w:r>
      <w:r>
        <w:t xml:space="preserve">“</w:t>
      </w:r>
      <w:hyperlink w:anchor="sec:pral-cowhifo">
        <w:r>
          <w:rPr>
            <w:rStyle w:val="Hyperlink"/>
          </w:rPr>
          <w:t xml:space="preserve">Products and Algorithms: Whitecap / Foam Correction</w:t>
        </w:r>
      </w:hyperlink>
      <w:r>
        <w:t xml:space="preserve">”</w:t>
      </w:r>
      <w:r>
        <w:t xml:space="preserve">,</w:t>
      </w:r>
      <w:r>
        <w:t xml:space="preserve"> </w:t>
      </w:r>
      <w:r>
        <w:t xml:space="preserve">Dierssen (</w:t>
      </w:r>
      <w:hyperlink w:anchor="ref-dierssen2019">
        <w:r>
          <w:rPr>
            <w:rStyle w:val="Hyperlink"/>
          </w:rPr>
          <w:t xml:space="preserve">2019</w:t>
        </w:r>
      </w:hyperlink>
      <w:r>
        <w:t xml:space="preserve">)</w:t>
      </w:r>
      <w:r>
        <w:t xml:space="preserve">,</w:t>
      </w:r>
      <w:r>
        <w:t xml:space="preserve"> </w:t>
      </w:r>
      <w:r>
        <w:t xml:space="preserve">Dierssen (</w:t>
      </w:r>
      <w:hyperlink w:anchor="ref-dierssen2021">
        <w:r>
          <w:rPr>
            <w:rStyle w:val="Hyperlink"/>
          </w:rPr>
          <w:t xml:space="preserve">2021</w:t>
        </w:r>
      </w:hyperlink>
      <w:r>
        <w:t xml:space="preserve">)</w:t>
      </w:r>
      <w:r>
        <w:t xml:space="preserve">,</w:t>
      </w:r>
      <w:r>
        <w:t xml:space="preserve"> </w:t>
      </w:r>
      <w:r>
        <w:t xml:space="preserve">Frouin et al. (</w:t>
      </w:r>
      <w:hyperlink w:anchor="ref-frouin2019">
        <w:r>
          <w:rPr>
            <w:rStyle w:val="Hyperlink"/>
          </w:rPr>
          <w:t xml:space="preserve">2019</w:t>
        </w:r>
      </w:hyperlink>
      <w:r>
        <w:t xml:space="preserve">)</w:t>
      </w:r>
      <w:r>
        <w:t xml:space="preserve">,</w:t>
      </w:r>
      <w:r>
        <w:t xml:space="preserve"> </w:t>
      </w:r>
      <w:r>
        <w:t xml:space="preserve">Koepke (</w:t>
      </w:r>
      <w:hyperlink w:anchor="ref-koepke1984">
        <w:r>
          <w:rPr>
            <w:rStyle w:val="Hyperlink"/>
          </w:rPr>
          <w:t xml:space="preserve">1984</w:t>
        </w:r>
      </w:hyperlink>
      <w:r>
        <w:t xml:space="preserve">)</w:t>
      </w:r>
      <w:r>
        <w:t xml:space="preserve">,</w:t>
      </w:r>
      <w:r>
        <w:t xml:space="preserve"> </w:t>
      </w:r>
      <w:r>
        <w:t xml:space="preserve">K. D. Moore, Voss, and Gordon (</w:t>
      </w:r>
      <w:hyperlink w:anchor="ref-moore2000">
        <w:r>
          <w:rPr>
            <w:rStyle w:val="Hyperlink"/>
          </w:rPr>
          <w:t xml:space="preserve">2000</w:t>
        </w:r>
      </w:hyperlink>
      <w:r>
        <w:t xml:space="preserve">)</w:t>
      </w:r>
      <w:r>
        <w:t xml:space="preserve">,</w:t>
      </w:r>
      <w:r>
        <w:t xml:space="preserve"> </w:t>
      </w:r>
      <w:r>
        <w:t xml:space="preserve">Wang et al. (</w:t>
      </w:r>
      <w:hyperlink w:anchor="ref-wang2017">
        <w:r>
          <w:rPr>
            <w:rStyle w:val="Hyperlink"/>
          </w:rPr>
          <w:t xml:space="preserve">2017</w:t>
        </w:r>
      </w:hyperlink>
      <w:r>
        <w:t xml:space="preserve">)</w:t>
      </w:r>
      <w:r>
        <w:t xml:space="preserve">, and</w:t>
      </w:r>
      <w:r>
        <w:t xml:space="preserve"> </w:t>
      </w:r>
      <w:r>
        <w:t xml:space="preserve">EUMETSAT (</w:t>
      </w:r>
      <w:hyperlink w:anchor="ref-eumetsat2021">
        <w:r>
          <w:rPr>
            <w:rStyle w:val="Hyperlink"/>
          </w:rPr>
          <w:t xml:space="preserve">2021</w:t>
        </w:r>
      </w:hyperlink>
      <w:r>
        <w:t xml:space="preserve">)</w:t>
      </w:r>
      <w:r>
        <w:t xml:space="preserve">.</w:t>
      </w:r>
    </w:p>
    <w:bookmarkEnd w:id="157"/>
    <w:bookmarkStart w:id="158" w:name="assessment-30"/>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8"/>
    <w:bookmarkEnd w:id="159"/>
    <w:bookmarkStart w:id="163" w:name="sec:pxl-paodpara"/>
    <w:p>
      <w:pPr>
        <w:pStyle w:val="berschrift4"/>
      </w:pPr>
      <w:r>
        <w:rPr>
          <w:rStyle w:val="VerbatimChar"/>
        </w:rPr>
        <w:t xml:space="preserve">2.13.</w:t>
      </w:r>
      <w:r>
        <w:t xml:space="preserve"> </w:t>
      </w:r>
      <w:r>
        <w:t xml:space="preserve">Aerosol Optical Depth Parameters</w:t>
      </w:r>
    </w:p>
    <w:p>
      <w:pPr>
        <w:pStyle w:val="FirstParagraph"/>
      </w:pPr>
      <w:r>
        <w:t xml:space="preserve">Identifier:</w:t>
      </w:r>
      <w:r>
        <w:t xml:space="preserve"> </w:t>
      </w:r>
      <w:r>
        <w:rPr>
          <w:rStyle w:val="VerbatimChar"/>
        </w:rPr>
        <w:t xml:space="preserve">pxl-paodpara</w:t>
      </w:r>
    </w:p>
    <w:bookmarkStart w:id="160" w:name="threshold-requirements-31"/>
    <w:p>
      <w:pPr>
        <w:pStyle w:val="berschrift5"/>
      </w:pPr>
      <w:r>
        <w:t xml:space="preserve">Threshold requirements:</w:t>
      </w:r>
    </w:p>
    <w:p>
      <w:pPr>
        <w:pStyle w:val="FirstParagraph"/>
      </w:pPr>
      <w:r>
        <w:t xml:space="preserve">Not required.</w:t>
      </w:r>
      <w:r>
        <w:t xml:space="preserve"> </w:t>
      </w:r>
    </w:p>
    <w:bookmarkEnd w:id="160"/>
    <w:bookmarkStart w:id="161" w:name="goal-requirements-31"/>
    <w:p>
      <w:pPr>
        <w:pStyle w:val="berschrift5"/>
      </w:pPr>
      <w:r>
        <w:t xml:space="preserve">Goal requirements:</w:t>
      </w:r>
    </w:p>
    <w:p>
      <w:pPr>
        <w:pStyle w:val="FirstParagraph"/>
      </w:pPr>
      <w:r>
        <w:t xml:space="preserve">Either per-pixel spectral AOD or per-pixel AOD (550 nm) and Angstrom exponent are provided.</w:t>
      </w:r>
    </w:p>
    <w:p>
      <w:pPr>
        <w:pStyle w:val="Textkrper"/>
      </w:pPr>
      <w:r>
        <w:t xml:space="preserve">Note:</w:t>
      </w:r>
    </w:p>
    <w:p>
      <w:pPr>
        <w:pStyle w:val="Compact"/>
        <w:numPr>
          <w:ilvl w:val="0"/>
          <w:numId w:val="1047"/>
        </w:numPr>
      </w:pPr>
      <w:r>
        <w:t xml:space="preserve">This might be an input or an output parameter.</w:t>
      </w:r>
    </w:p>
    <w:bookmarkEnd w:id="161"/>
    <w:bookmarkStart w:id="162" w:name="assessment-31"/>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2"/>
    <w:bookmarkEnd w:id="163"/>
    <w:bookmarkStart w:id="167" w:name="sec:pxl-pajdeff"/>
    <w:p>
      <w:pPr>
        <w:pStyle w:val="berschrift4"/>
      </w:pPr>
      <w:r>
        <w:rPr>
          <w:rStyle w:val="VerbatimChar"/>
        </w:rPr>
        <w:t xml:space="preserve">2.14.</w:t>
      </w:r>
      <w:r>
        <w:t xml:space="preserve"> </w:t>
      </w:r>
      <w:r>
        <w:t xml:space="preserve">Adjacency Effects</w:t>
      </w:r>
    </w:p>
    <w:p>
      <w:pPr>
        <w:pStyle w:val="FirstParagraph"/>
      </w:pPr>
      <w:r>
        <w:t xml:space="preserve">Identifier:</w:t>
      </w:r>
      <w:r>
        <w:t xml:space="preserve"> </w:t>
      </w:r>
      <w:r>
        <w:rPr>
          <w:rStyle w:val="VerbatimChar"/>
        </w:rPr>
        <w:t xml:space="preserve">pxl-pajdeff</w:t>
      </w:r>
    </w:p>
    <w:bookmarkStart w:id="164" w:name="threshold-requirements-32"/>
    <w:p>
      <w:pPr>
        <w:pStyle w:val="berschrift5"/>
      </w:pPr>
      <w:r>
        <w:t xml:space="preserve">Threshold requirements:</w:t>
      </w:r>
    </w:p>
    <w:p>
      <w:pPr>
        <w:pStyle w:val="FirstParagraph"/>
      </w:pPr>
      <w:r>
        <w:t xml:space="preserve">Not required.</w:t>
      </w:r>
      <w:r>
        <w:t xml:space="preserve"> </w:t>
      </w:r>
    </w:p>
    <w:bookmarkEnd w:id="164"/>
    <w:bookmarkStart w:id="165" w:name="goal-requirements-32"/>
    <w:p>
      <w:pPr>
        <w:pStyle w:val="berschrift5"/>
      </w:pPr>
      <w:r>
        <w:t xml:space="preserve">Goal requirements:</w:t>
      </w:r>
    </w:p>
    <w:p>
      <w:pPr>
        <w:pStyle w:val="FirstParagraph"/>
      </w:pPr>
      <w:r>
        <w:t xml:space="preserve">Depending on the adjacency effects correction method (embedded in the atmospheric correction or separate from the atmospheric correction) the metadata specifies the amount of per-pixel adjacency effect contamination.</w:t>
      </w:r>
    </w:p>
    <w:p>
      <w:pPr>
        <w:pStyle w:val="Textkrper"/>
      </w:pPr>
      <w:r>
        <w:t xml:space="preserve">Notes:</w:t>
      </w:r>
    </w:p>
    <w:p>
      <w:pPr>
        <w:pStyle w:val="Compact"/>
        <w:numPr>
          <w:ilvl w:val="0"/>
          <w:numId w:val="1049"/>
        </w:numPr>
      </w:pPr>
      <w:r>
        <w:t xml:space="preserve">An additional product must be provided to specify the amount.</w:t>
      </w:r>
    </w:p>
    <w:p>
      <w:pPr>
        <w:pStyle w:val="Compact"/>
        <w:numPr>
          <w:ilvl w:val="0"/>
          <w:numId w:val="1049"/>
        </w:numPr>
      </w:pPr>
      <w:r>
        <w:t xml:space="preserve">See</w:t>
      </w:r>
      <w:r>
        <w:t xml:space="preserve"> </w:t>
      </w:r>
      <w:r>
        <w:t xml:space="preserve">Botha, Brando, and Dekker (</w:t>
      </w:r>
      <w:hyperlink w:anchor="ref-botha2016">
        <w:r>
          <w:rPr>
            <w:rStyle w:val="Hyperlink"/>
          </w:rPr>
          <w:t xml:space="preserve">2016</w:t>
        </w:r>
      </w:hyperlink>
      <w:r>
        <w:t xml:space="preserve">)</w:t>
      </w:r>
      <w:r>
        <w:t xml:space="preserve">,</w:t>
      </w:r>
      <w:r>
        <w:t xml:space="preserve"> </w:t>
      </w:r>
      <w:r>
        <w:t xml:space="preserve">Bulgarelli, Kiselev, and Zibordi (</w:t>
      </w:r>
      <w:hyperlink w:anchor="ref-bulgarelli2014">
        <w:r>
          <w:rPr>
            <w:rStyle w:val="Hyperlink"/>
          </w:rPr>
          <w:t xml:space="preserve">2014</w:t>
        </w:r>
      </w:hyperlink>
      <w:r>
        <w:t xml:space="preserve">)</w:t>
      </w:r>
      <w:r>
        <w:t xml:space="preserve">,</w:t>
      </w:r>
      <w:r>
        <w:t xml:space="preserve"> </w:t>
      </w:r>
      <w:r>
        <w:t xml:space="preserve">Bulgarelli and Zibordi (</w:t>
      </w:r>
      <w:hyperlink w:anchor="ref-bulgarelli2018">
        <w:r>
          <w:rPr>
            <w:rStyle w:val="Hyperlink"/>
          </w:rPr>
          <w:t xml:space="preserve">2018</w:t>
        </w:r>
      </w:hyperlink>
      <w:r>
        <w:t xml:space="preserve">)</w:t>
      </w:r>
      <w:r>
        <w:t xml:space="preserve">,</w:t>
      </w:r>
      <w:r>
        <w:t xml:space="preserve"> </w:t>
      </w:r>
      <w:r>
        <w:t xml:space="preserve">Sei (</w:t>
      </w:r>
      <w:hyperlink w:anchor="ref-sei2015">
        <w:r>
          <w:rPr>
            <w:rStyle w:val="Hyperlink"/>
          </w:rPr>
          <w:t xml:space="preserve">2015</w:t>
        </w:r>
      </w:hyperlink>
      <w:r>
        <w:t xml:space="preserve">)</w:t>
      </w:r>
      <w:r>
        <w:t xml:space="preserve">, and</w:t>
      </w:r>
      <w:r>
        <w:t xml:space="preserve"> </w:t>
      </w:r>
      <w:r>
        <w:t xml:space="preserve">Wu, Knudby, and Lapen (</w:t>
      </w:r>
      <w:hyperlink w:anchor="ref-wu2023">
        <w:r>
          <w:rPr>
            <w:rStyle w:val="Hyperlink"/>
          </w:rPr>
          <w:t xml:space="preserve">2023</w:t>
        </w:r>
      </w:hyperlink>
      <w:r>
        <w:t xml:space="preserve">)</w:t>
      </w:r>
      <w:r>
        <w:t xml:space="preserve">.</w:t>
      </w:r>
    </w:p>
    <w:bookmarkEnd w:id="165"/>
    <w:bookmarkStart w:id="166" w:name="assessment-32"/>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66"/>
    <w:bookmarkEnd w:id="167"/>
    <w:bookmarkStart w:id="171" w:name="sec:pxl-floatveg"/>
    <w:p>
      <w:pPr>
        <w:pStyle w:val="berschrift4"/>
      </w:pPr>
      <w:r>
        <w:rPr>
          <w:rStyle w:val="VerbatimChar"/>
        </w:rPr>
        <w:t xml:space="preserve">2.15.</w:t>
      </w:r>
      <w:r>
        <w:t xml:space="preserve"> </w:t>
      </w:r>
      <w:r>
        <w:t xml:space="preserve">Floating Vegetation / Surface Scum</w:t>
      </w:r>
    </w:p>
    <w:p>
      <w:pPr>
        <w:pStyle w:val="FirstParagraph"/>
      </w:pPr>
      <w:r>
        <w:t xml:space="preserve">Identifier:</w:t>
      </w:r>
      <w:r>
        <w:t xml:space="preserve"> </w:t>
      </w:r>
      <w:r>
        <w:rPr>
          <w:rStyle w:val="VerbatimChar"/>
        </w:rPr>
        <w:t xml:space="preserve">pxl-floatveg</w:t>
      </w:r>
    </w:p>
    <w:bookmarkStart w:id="168" w:name="threshold-requirements-33"/>
    <w:p>
      <w:pPr>
        <w:pStyle w:val="berschrift5"/>
      </w:pPr>
      <w:r>
        <w:t xml:space="preserve">Threshold requirements:</w:t>
      </w:r>
    </w:p>
    <w:p>
      <w:pPr>
        <w:pStyle w:val="FirstParagraph"/>
      </w:pPr>
      <w:r>
        <w:t xml:space="preserve">Specification of whether a pixel is affected by floating vegetation/surface scum.</w:t>
      </w:r>
    </w:p>
    <w:p>
      <w:pPr>
        <w:pStyle w:val="Textkrper"/>
      </w:pPr>
      <w:r>
        <w:t xml:space="preserve">Note:</w:t>
      </w:r>
    </w:p>
    <w:p>
      <w:pPr>
        <w:pStyle w:val="Compact"/>
        <w:numPr>
          <w:ilvl w:val="0"/>
          <w:numId w:val="1051"/>
        </w:numPr>
      </w:pPr>
      <w:r>
        <w:t xml:space="preserve">See</w:t>
      </w:r>
      <w:r>
        <w:t xml:space="preserve"> </w:t>
      </w:r>
      <w:r>
        <w:t xml:space="preserve">Bell (</w:t>
      </w:r>
      <w:hyperlink w:anchor="ref-bell2023">
        <w:r>
          <w:rPr>
            <w:rStyle w:val="Hyperlink"/>
          </w:rPr>
          <w:t xml:space="preserve">2023</w:t>
        </w:r>
      </w:hyperlink>
      <w:r>
        <w:t xml:space="preserve">)</w:t>
      </w:r>
      <w:r>
        <w:t xml:space="preserve">,</w:t>
      </w:r>
      <w:r>
        <w:t xml:space="preserve"> </w:t>
      </w:r>
      <w:r>
        <w:t xml:space="preserve">Bresciani et al. (</w:t>
      </w:r>
      <w:hyperlink w:anchor="ref-bresciani2014">
        <w:r>
          <w:rPr>
            <w:rStyle w:val="Hyperlink"/>
          </w:rPr>
          <w:t xml:space="preserve">2014</w:t>
        </w:r>
      </w:hyperlink>
      <w:r>
        <w:t xml:space="preserve">)</w:t>
      </w:r>
      <w:r>
        <w:t xml:space="preserve">,</w:t>
      </w:r>
      <w:r>
        <w:t xml:space="preserve"> </w:t>
      </w:r>
      <w:r>
        <w:t xml:space="preserve">Gendall et al. (</w:t>
      </w:r>
      <w:hyperlink w:anchor="ref-gendall2023">
        <w:r>
          <w:rPr>
            <w:rStyle w:val="Hyperlink"/>
          </w:rPr>
          <w:t xml:space="preserve">2023</w:t>
        </w:r>
      </w:hyperlink>
      <w:r>
        <w:t xml:space="preserve">)</w:t>
      </w:r>
      <w:r>
        <w:t xml:space="preserve">,</w:t>
      </w:r>
      <w:r>
        <w:t xml:space="preserve"> </w:t>
      </w:r>
      <w:r>
        <w:t xml:space="preserve">Hu (</w:t>
      </w:r>
      <w:hyperlink w:anchor="ref-hu2009">
        <w:r>
          <w:rPr>
            <w:rStyle w:val="Hyperlink"/>
          </w:rPr>
          <w:t xml:space="preserve">2009</w:t>
        </w:r>
      </w:hyperlink>
      <w:r>
        <w:t xml:space="preserve">)</w:t>
      </w:r>
      <w:r>
        <w:t xml:space="preserve">,</w:t>
      </w:r>
      <w:r>
        <w:t xml:space="preserve"> </w:t>
      </w:r>
      <w:r>
        <w:t xml:space="preserve">Matthews, Bernard, and Robertson (</w:t>
      </w:r>
      <w:hyperlink w:anchor="ref-matthews2012">
        <w:r>
          <w:rPr>
            <w:rStyle w:val="Hyperlink"/>
          </w:rPr>
          <w:t xml:space="preserve">2012</w:t>
        </w:r>
      </w:hyperlink>
      <w:r>
        <w:t xml:space="preserve">)</w:t>
      </w:r>
      <w:r>
        <w:t xml:space="preserve">, and</w:t>
      </w:r>
      <w:r>
        <w:t xml:space="preserve"> </w:t>
      </w:r>
      <w:r>
        <w:t xml:space="preserve">Matthews and Odermatt (</w:t>
      </w:r>
      <w:hyperlink w:anchor="ref-matthews2015">
        <w:r>
          <w:rPr>
            <w:rStyle w:val="Hyperlink"/>
          </w:rPr>
          <w:t xml:space="preserve">2015</w:t>
        </w:r>
      </w:hyperlink>
      <w:r>
        <w:t xml:space="preserve">)</w:t>
      </w:r>
      <w:r>
        <w:t xml:space="preserve">.</w:t>
      </w:r>
    </w:p>
    <w:bookmarkEnd w:id="168"/>
    <w:bookmarkStart w:id="169" w:name="goal-requirements-33"/>
    <w:p>
      <w:pPr>
        <w:pStyle w:val="berschrift5"/>
      </w:pPr>
      <w:r>
        <w:t xml:space="preserve">Goal requirements:</w:t>
      </w:r>
    </w:p>
    <w:p>
      <w:pPr>
        <w:pStyle w:val="FirstParagraph"/>
      </w:pPr>
      <w:r>
        <w:t xml:space="preserve">As threshold.</w:t>
      </w:r>
      <w:r>
        <w:t xml:space="preserve"> </w:t>
      </w:r>
    </w:p>
    <w:bookmarkEnd w:id="169"/>
    <w:bookmarkStart w:id="170" w:name="assessment-33"/>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70"/>
    <w:bookmarkEnd w:id="171"/>
    <w:bookmarkStart w:id="175" w:name="sec:pxl-pibathy"/>
    <w:p>
      <w:pPr>
        <w:pStyle w:val="berschrift4"/>
      </w:pPr>
      <w:r>
        <w:rPr>
          <w:rStyle w:val="VerbatimChar"/>
        </w:rPr>
        <w:t xml:space="preserve">2.16.</w:t>
      </w:r>
      <w:r>
        <w:t xml:space="preserve"> </w:t>
      </w:r>
      <w:r>
        <w:t xml:space="preserve">Bathymetry</w:t>
      </w:r>
    </w:p>
    <w:p>
      <w:pPr>
        <w:pStyle w:val="FirstParagraph"/>
      </w:pPr>
      <w:r>
        <w:t xml:space="preserve">Identifier:</w:t>
      </w:r>
      <w:r>
        <w:t xml:space="preserve"> </w:t>
      </w:r>
      <w:r>
        <w:rPr>
          <w:rStyle w:val="VerbatimChar"/>
        </w:rPr>
        <w:t xml:space="preserve">pxl-pibathy</w:t>
      </w:r>
    </w:p>
    <w:bookmarkStart w:id="172" w:name="threshold-requirements-34"/>
    <w:p>
      <w:pPr>
        <w:pStyle w:val="berschrift5"/>
      </w:pPr>
      <w:r>
        <w:t xml:space="preserve">Threshold requirements:</w:t>
      </w:r>
    </w:p>
    <w:p>
      <w:pPr>
        <w:pStyle w:val="FirstParagraph"/>
      </w:pPr>
      <w:r>
        <w:t xml:space="preserve">Not required.</w:t>
      </w:r>
      <w:r>
        <w:t xml:space="preserve"> </w:t>
      </w:r>
    </w:p>
    <w:bookmarkEnd w:id="172"/>
    <w:bookmarkStart w:id="173" w:name="goal-requirements-34"/>
    <w:p>
      <w:pPr>
        <w:pStyle w:val="berschrift5"/>
      </w:pPr>
      <w:r>
        <w:t xml:space="preserve">Goal requirements:</w:t>
      </w:r>
    </w:p>
    <w:p>
      <w:pPr>
        <w:pStyle w:val="FirstParagraph"/>
      </w:pPr>
      <w:r>
        <w:t xml:space="preserve">Water surface to bottom substratum depth (i.e., water column depth) at the specific pixel location is specified.</w:t>
      </w:r>
    </w:p>
    <w:p>
      <w:pPr>
        <w:pStyle w:val="Textkrper"/>
      </w:pPr>
      <w:r>
        <w:t xml:space="preserve">Notes:</w:t>
      </w:r>
    </w:p>
    <w:p>
      <w:pPr>
        <w:pStyle w:val="Compact"/>
        <w:numPr>
          <w:ilvl w:val="0"/>
          <w:numId w:val="1053"/>
        </w:numPr>
      </w:pPr>
      <w:r>
        <w:t xml:space="preserve">Specify whether a recalculation to a mean sea level has taken place for oceanic waters.</w:t>
      </w:r>
    </w:p>
    <w:p>
      <w:pPr>
        <w:pStyle w:val="Compact"/>
        <w:numPr>
          <w:ilvl w:val="0"/>
          <w:numId w:val="1053"/>
        </w:numPr>
      </w:pPr>
      <w:r>
        <w:t xml:space="preserve">Specify whether a recalculation to a mean water surface level has taken place for any non-oceanic waters.</w:t>
      </w:r>
    </w:p>
    <w:p>
      <w:pPr>
        <w:pStyle w:val="Compact"/>
        <w:numPr>
          <w:ilvl w:val="0"/>
          <w:numId w:val="1053"/>
        </w:numPr>
      </w:pPr>
      <w:r>
        <w:t xml:space="preserve">See</w:t>
      </w:r>
      <w:r>
        <w:t xml:space="preserve"> </w:t>
      </w:r>
      <w:r>
        <w:t xml:space="preserve">Hartmann et al. (</w:t>
      </w:r>
      <w:hyperlink w:anchor="ref-hartmann2022">
        <w:r>
          <w:rPr>
            <w:rStyle w:val="Hyperlink"/>
          </w:rPr>
          <w:t xml:space="preserve">2022</w:t>
        </w:r>
      </w:hyperlink>
      <w:r>
        <w:t xml:space="preserve">)</w:t>
      </w:r>
      <w:r>
        <w:t xml:space="preserve">,</w:t>
      </w:r>
      <w:r>
        <w:t xml:space="preserve"> </w:t>
      </w:r>
      <w:r>
        <w:t xml:space="preserve">Khazaei et al. (</w:t>
      </w:r>
      <w:hyperlink w:anchor="ref-khazaei2022">
        <w:r>
          <w:rPr>
            <w:rStyle w:val="Hyperlink"/>
          </w:rPr>
          <w:t xml:space="preserve">2022</w:t>
        </w:r>
      </w:hyperlink>
      <w:r>
        <w:t xml:space="preserve">)</w:t>
      </w:r>
      <w:r>
        <w:t xml:space="preserve">,</w:t>
      </w:r>
      <w:r>
        <w:t xml:space="preserve"> </w:t>
      </w:r>
      <w:r>
        <w:t xml:space="preserve">Kim et al. (</w:t>
      </w:r>
      <w:hyperlink w:anchor="ref-kim2024">
        <w:r>
          <w:rPr>
            <w:rStyle w:val="Hyperlink"/>
          </w:rPr>
          <w:t xml:space="preserve">2024</w:t>
        </w:r>
      </w:hyperlink>
      <w:r>
        <w:t xml:space="preserve">)</w:t>
      </w:r>
      <w:r>
        <w:t xml:space="preserve">,</w:t>
      </w:r>
      <w:r>
        <w:t xml:space="preserve"> </w:t>
      </w:r>
      <w:r>
        <w:t xml:space="preserve">Weatherall et al. (</w:t>
      </w:r>
      <w:hyperlink w:anchor="ref-weatherall2015">
        <w:r>
          <w:rPr>
            <w:rStyle w:val="Hyperlink"/>
          </w:rPr>
          <w:t xml:space="preserve">2015</w:t>
        </w:r>
      </w:hyperlink>
      <w:r>
        <w:t xml:space="preserve">)</w:t>
      </w:r>
      <w:r>
        <w:t xml:space="preserve">,</w:t>
      </w:r>
      <w:r>
        <w:t xml:space="preserve"> </w:t>
      </w:r>
      <w:r>
        <w:t xml:space="preserve">GEBCO Bathymetric Compilation Group 2024 (</w:t>
      </w:r>
      <w:hyperlink w:anchor="ref-gebco2024">
        <w:r>
          <w:rPr>
            <w:rStyle w:val="Hyperlink"/>
          </w:rPr>
          <w:t xml:space="preserve">2024</w:t>
        </w:r>
      </w:hyperlink>
      <w:r>
        <w:t xml:space="preserve">)</w:t>
      </w:r>
      <w:r>
        <w:t xml:space="preserve">, and</w:t>
      </w:r>
      <w:r>
        <w:t xml:space="preserve"> </w:t>
      </w:r>
      <w:r>
        <w:t xml:space="preserve">IHO (</w:t>
      </w:r>
      <w:hyperlink w:anchor="ref-iho2024">
        <w:r>
          <w:rPr>
            <w:rStyle w:val="Hyperlink"/>
          </w:rPr>
          <w:t xml:space="preserve">2024</w:t>
        </w:r>
      </w:hyperlink>
      <w:r>
        <w:t xml:space="preserve">)</w:t>
      </w:r>
      <w:r>
        <w:t xml:space="preserve">.</w:t>
      </w:r>
    </w:p>
    <w:bookmarkEnd w:id="173"/>
    <w:bookmarkStart w:id="174" w:name="assessment-34"/>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74"/>
    <w:bookmarkEnd w:id="175"/>
    <w:bookmarkStart w:id="179" w:name="sec:pxl-podosas"/>
    <w:p>
      <w:pPr>
        <w:pStyle w:val="berschrift4"/>
      </w:pPr>
      <w:r>
        <w:rPr>
          <w:rStyle w:val="VerbatimChar"/>
        </w:rPr>
        <w:t xml:space="preserve">2.17.</w:t>
      </w:r>
      <w:r>
        <w:t xml:space="preserve"> </w:t>
      </w:r>
      <w:r>
        <w:t xml:space="preserve">Optically Deep or Optically Shallow Assessment</w:t>
      </w:r>
    </w:p>
    <w:p>
      <w:pPr>
        <w:pStyle w:val="FirstParagraph"/>
      </w:pPr>
      <w:r>
        <w:t xml:space="preserve">Identifier:</w:t>
      </w:r>
      <w:r>
        <w:t xml:space="preserve"> </w:t>
      </w:r>
      <w:r>
        <w:rPr>
          <w:rStyle w:val="VerbatimChar"/>
        </w:rPr>
        <w:t xml:space="preserve">pxl-podosas</w:t>
      </w:r>
    </w:p>
    <w:bookmarkStart w:id="176" w:name="threshold-requirements-35"/>
    <w:p>
      <w:pPr>
        <w:pStyle w:val="berschrift5"/>
      </w:pPr>
      <w:r>
        <w:t xml:space="preserve">Threshold requirements:</w:t>
      </w:r>
    </w:p>
    <w:p>
      <w:pPr>
        <w:pStyle w:val="FirstParagraph"/>
      </w:pPr>
      <w:r>
        <w:t xml:space="preserve">Information regarding whether pixels are optically deep or shallow is provided if there is an assumption during the processing that a pixel is optically deep or optically shallow.</w:t>
      </w:r>
    </w:p>
    <w:p>
      <w:pPr>
        <w:pStyle w:val="Textkrper"/>
      </w:pPr>
      <w:r>
        <w:t xml:space="preserve">Note:</w:t>
      </w:r>
    </w:p>
    <w:p>
      <w:pPr>
        <w:pStyle w:val="Compact"/>
        <w:numPr>
          <w:ilvl w:val="0"/>
          <w:numId w:val="1055"/>
        </w:numPr>
      </w:pPr>
      <w:r>
        <w:t xml:space="preserve">See</w:t>
      </w:r>
      <w:r>
        <w:t xml:space="preserve"> </w:t>
      </w:r>
      <w:r>
        <w:t xml:space="preserve">Kutser et al. (</w:t>
      </w:r>
      <w:hyperlink w:anchor="ref-kutser2020">
        <w:r>
          <w:rPr>
            <w:rStyle w:val="Hyperlink"/>
          </w:rPr>
          <w:t xml:space="preserve">2020</w:t>
        </w:r>
      </w:hyperlink>
      <w:r>
        <w:t xml:space="preserve">)</w:t>
      </w:r>
      <w:r>
        <w:t xml:space="preserve">.</w:t>
      </w:r>
    </w:p>
    <w:bookmarkEnd w:id="176"/>
    <w:bookmarkStart w:id="177" w:name="goal-requirements-35"/>
    <w:p>
      <w:pPr>
        <w:pStyle w:val="berschrift5"/>
      </w:pPr>
      <w:r>
        <w:t xml:space="preserve">Goal requirements:</w:t>
      </w:r>
    </w:p>
    <w:p>
      <w:pPr>
        <w:pStyle w:val="FirstParagraph"/>
      </w:pPr>
      <w:r>
        <w:t xml:space="preserve">A flag that indicates optically deep and shallow waters is provided.</w:t>
      </w:r>
    </w:p>
    <w:p>
      <w:pPr>
        <w:pStyle w:val="Textkrper"/>
      </w:pPr>
      <w:r>
        <w:t xml:space="preserve">Note:</w:t>
      </w:r>
    </w:p>
    <w:p>
      <w:pPr>
        <w:pStyle w:val="Compact"/>
        <w:numPr>
          <w:ilvl w:val="0"/>
          <w:numId w:val="1056"/>
        </w:numPr>
      </w:pPr>
      <w:r>
        <w:t xml:space="preserve">See</w:t>
      </w:r>
      <w:r>
        <w:t xml:space="preserve"> </w:t>
      </w:r>
      <w:r>
        <w:t xml:space="preserve">Brando et al. (</w:t>
      </w:r>
      <w:hyperlink w:anchor="ref-brando2009">
        <w:r>
          <w:rPr>
            <w:rStyle w:val="Hyperlink"/>
          </w:rPr>
          <w:t xml:space="preserve">2009</w:t>
        </w:r>
      </w:hyperlink>
      <w:r>
        <w:t xml:space="preserve">)</w:t>
      </w:r>
      <w:r>
        <w:t xml:space="preserve">,</w:t>
      </w:r>
      <w:r>
        <w:t xml:space="preserve"> </w:t>
      </w:r>
      <w:r>
        <w:t xml:space="preserve">Dekker et al. (</w:t>
      </w:r>
      <w:hyperlink w:anchor="ref-dekker2011">
        <w:r>
          <w:rPr>
            <w:rStyle w:val="Hyperlink"/>
          </w:rPr>
          <w:t xml:space="preserve">2011</w:t>
        </w:r>
      </w:hyperlink>
      <w:r>
        <w:t xml:space="preserve">)</w:t>
      </w:r>
      <w:r>
        <w:t xml:space="preserve">, and</w:t>
      </w:r>
      <w:r>
        <w:t xml:space="preserve"> </w:t>
      </w:r>
      <w:r>
        <w:t xml:space="preserve">Richardson et al. (</w:t>
      </w:r>
      <w:hyperlink w:anchor="ref-richardson2024">
        <w:r>
          <w:rPr>
            <w:rStyle w:val="Hyperlink"/>
          </w:rPr>
          <w:t xml:space="preserve">2024</w:t>
        </w:r>
      </w:hyperlink>
      <w:r>
        <w:t xml:space="preserve">)</w:t>
      </w:r>
      <w:r>
        <w:t xml:space="preserve">.</w:t>
      </w:r>
    </w:p>
    <w:bookmarkEnd w:id="177"/>
    <w:bookmarkStart w:id="178" w:name="assessment-35"/>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78"/>
    <w:bookmarkEnd w:id="179"/>
    <w:bookmarkStart w:id="183" w:name="sec:pxl-powaty"/>
    <w:p>
      <w:pPr>
        <w:pStyle w:val="berschrift4"/>
      </w:pPr>
      <w:r>
        <w:rPr>
          <w:rStyle w:val="VerbatimChar"/>
        </w:rPr>
        <w:t xml:space="preserve">2.18.</w:t>
      </w:r>
      <w:r>
        <w:t xml:space="preserve"> </w:t>
      </w:r>
      <w:r>
        <w:t xml:space="preserve">Optical Water Type</w:t>
      </w:r>
    </w:p>
    <w:p>
      <w:pPr>
        <w:pStyle w:val="FirstParagraph"/>
      </w:pPr>
      <w:r>
        <w:t xml:space="preserve">Identifier:</w:t>
      </w:r>
      <w:r>
        <w:t xml:space="preserve"> </w:t>
      </w:r>
      <w:r>
        <w:rPr>
          <w:rStyle w:val="VerbatimChar"/>
        </w:rPr>
        <w:t xml:space="preserve">pxl-powaty</w:t>
      </w:r>
    </w:p>
    <w:bookmarkStart w:id="180" w:name="threshold-requirements-36"/>
    <w:p>
      <w:pPr>
        <w:pStyle w:val="berschrift5"/>
      </w:pPr>
      <w:r>
        <w:t xml:space="preserve">Threshold requirements:</w:t>
      </w:r>
    </w:p>
    <w:p>
      <w:pPr>
        <w:pStyle w:val="FirstParagraph"/>
      </w:pPr>
      <w:r>
        <w:t xml:space="preserve">Specification of optical water type, when applicable (for optically deep waters).</w:t>
      </w:r>
    </w:p>
    <w:p>
      <w:pPr>
        <w:pStyle w:val="Textkrper"/>
      </w:pPr>
      <w:r>
        <w:t xml:space="preserve">Note:</w:t>
      </w:r>
    </w:p>
    <w:p>
      <w:pPr>
        <w:pStyle w:val="Compact"/>
        <w:numPr>
          <w:ilvl w:val="0"/>
          <w:numId w:val="1058"/>
        </w:numPr>
      </w:pPr>
      <w:r>
        <w:t xml:space="preserve">See</w:t>
      </w:r>
      <w:r>
        <w:t xml:space="preserve"> </w:t>
      </w:r>
      <w:r>
        <w:t xml:space="preserve">Bi and Hieronymi (</w:t>
      </w:r>
      <w:hyperlink w:anchor="ref-hieronymi2024">
        <w:r>
          <w:rPr>
            <w:rStyle w:val="Hyperlink"/>
          </w:rPr>
          <w:t xml:space="preserve">2024</w:t>
        </w:r>
      </w:hyperlink>
      <w:r>
        <w:t xml:space="preserve">)</w:t>
      </w:r>
      <w:r>
        <w:t xml:space="preserve">.</w:t>
      </w:r>
    </w:p>
    <w:bookmarkEnd w:id="180"/>
    <w:bookmarkStart w:id="181" w:name="goal-requirements-36"/>
    <w:p>
      <w:pPr>
        <w:pStyle w:val="berschrift5"/>
      </w:pPr>
      <w:r>
        <w:t xml:space="preserve">Goal requirements:</w:t>
      </w:r>
    </w:p>
    <w:p>
      <w:pPr>
        <w:pStyle w:val="FirstParagraph"/>
      </w:pPr>
      <w:r>
        <w:t xml:space="preserve">As threshold.</w:t>
      </w:r>
      <w:r>
        <w:t xml:space="preserve"> </w:t>
      </w:r>
    </w:p>
    <w:bookmarkEnd w:id="181"/>
    <w:bookmarkStart w:id="182" w:name="assessment-36"/>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82"/>
    <w:bookmarkEnd w:id="183"/>
    <w:bookmarkStart w:id="187" w:name="sec:pxl-pituwa"/>
    <w:p>
      <w:pPr>
        <w:pStyle w:val="berschrift4"/>
      </w:pPr>
      <w:r>
        <w:rPr>
          <w:rStyle w:val="VerbatimChar"/>
        </w:rPr>
        <w:t xml:space="preserve">2.19.</w:t>
      </w:r>
      <w:r>
        <w:t xml:space="preserve"> </w:t>
      </w:r>
      <w:r>
        <w:t xml:space="preserve">Turbid Water</w:t>
      </w:r>
    </w:p>
    <w:p>
      <w:pPr>
        <w:pStyle w:val="FirstParagraph"/>
      </w:pPr>
      <w:r>
        <w:t xml:space="preserve">Identifier:</w:t>
      </w:r>
      <w:r>
        <w:t xml:space="preserve"> </w:t>
      </w:r>
      <w:r>
        <w:rPr>
          <w:rStyle w:val="VerbatimChar"/>
        </w:rPr>
        <w:t xml:space="preserve">pxl-pituwa</w:t>
      </w:r>
    </w:p>
    <w:bookmarkStart w:id="184" w:name="threshold-requirements-37"/>
    <w:p>
      <w:pPr>
        <w:pStyle w:val="berschrift5"/>
      </w:pPr>
      <w:r>
        <w:t xml:space="preserve">Threshold requirements:</w:t>
      </w:r>
    </w:p>
    <w:p>
      <w:pPr>
        <w:pStyle w:val="FirstParagraph"/>
      </w:pPr>
      <w:r>
        <w:t xml:space="preserve">Specification of whether a pixel is assessed as being turbid.</w:t>
      </w:r>
    </w:p>
    <w:p>
      <w:pPr>
        <w:pStyle w:val="Textkrper"/>
      </w:pPr>
      <w:r>
        <w:t xml:space="preserve">Notes:</w:t>
      </w:r>
    </w:p>
    <w:p>
      <w:pPr>
        <w:pStyle w:val="Compact"/>
        <w:numPr>
          <w:ilvl w:val="0"/>
          <w:numId w:val="1060"/>
        </w:numPr>
      </w:pPr>
      <w:r>
        <w:t xml:space="preserve">See</w:t>
      </w:r>
      <w:r>
        <w:t xml:space="preserve"> </w:t>
      </w:r>
      <w:r>
        <w:t xml:space="preserve">Andre Morel and Bélanger (</w:t>
      </w:r>
      <w:hyperlink w:anchor="ref-morel2006">
        <w:r>
          <w:rPr>
            <w:rStyle w:val="Hyperlink"/>
          </w:rPr>
          <w:t xml:space="preserve">2006</w:t>
        </w:r>
      </w:hyperlink>
      <w:r>
        <w:t xml:space="preserve">)</w:t>
      </w:r>
      <w:r>
        <w:t xml:space="preserve">,</w:t>
      </w:r>
      <w:r>
        <w:t xml:space="preserve"> </w:t>
      </w:r>
      <w:r>
        <w:t xml:space="preserve">André Morel and Gentili (</w:t>
      </w:r>
      <w:hyperlink w:anchor="ref-morel2008">
        <w:r>
          <w:rPr>
            <w:rStyle w:val="Hyperlink"/>
          </w:rPr>
          <w:t xml:space="preserve">2008</w:t>
        </w:r>
      </w:hyperlink>
      <w:r>
        <w:t xml:space="preserve">)</w:t>
      </w:r>
      <w:r>
        <w:t xml:space="preserve">, and</w:t>
      </w:r>
      <w:r>
        <w:t xml:space="preserve"> </w:t>
      </w:r>
      <w:r>
        <w:t xml:space="preserve">Hooker et al. (</w:t>
      </w:r>
      <w:hyperlink w:anchor="ref-hooker2003">
        <w:r>
          <w:rPr>
            <w:rStyle w:val="Hyperlink"/>
          </w:rPr>
          <w:t xml:space="preserve">2003</w:t>
        </w:r>
      </w:hyperlink>
      <w:r>
        <w:t xml:space="preserve">)</w:t>
      </w:r>
      <w:r>
        <w:t xml:space="preserve">.</w:t>
      </w:r>
    </w:p>
    <w:p>
      <w:pPr>
        <w:pStyle w:val="Compact"/>
        <w:numPr>
          <w:ilvl w:val="0"/>
          <w:numId w:val="1060"/>
        </w:numPr>
      </w:pPr>
      <w:r>
        <w:t xml:space="preserve">References for the corresponding flag algorithms are</w:t>
      </w:r>
      <w:r>
        <w:t xml:space="preserve"> </w:t>
      </w:r>
      <w:r>
        <w:t xml:space="preserve">Hudson, Overeem, and Syvitski (</w:t>
      </w:r>
      <w:hyperlink w:anchor="ref-hudson2016">
        <w:r>
          <w:rPr>
            <w:rStyle w:val="Hyperlink"/>
          </w:rPr>
          <w:t xml:space="preserve">2016</w:t>
        </w:r>
      </w:hyperlink>
      <w:r>
        <w:t xml:space="preserve">)</w:t>
      </w:r>
      <w:r>
        <w:t xml:space="preserve"> </w:t>
      </w:r>
      <w:r>
        <w:t xml:space="preserve">and</w:t>
      </w:r>
      <w:r>
        <w:t xml:space="preserve"> </w:t>
      </w:r>
      <w:r>
        <w:t xml:space="preserve">Shi and Wang (</w:t>
      </w:r>
      <w:hyperlink w:anchor="ref-shi2007">
        <w:r>
          <w:rPr>
            <w:rStyle w:val="Hyperlink"/>
          </w:rPr>
          <w:t xml:space="preserve">2007</w:t>
        </w:r>
      </w:hyperlink>
      <w:r>
        <w:t xml:space="preserve">)</w:t>
      </w:r>
      <w:r>
        <w:t xml:space="preserve">, respectively.</w:t>
      </w:r>
    </w:p>
    <w:bookmarkEnd w:id="184"/>
    <w:bookmarkStart w:id="185" w:name="goal-requirements-37"/>
    <w:p>
      <w:pPr>
        <w:pStyle w:val="berschrift5"/>
      </w:pPr>
      <w:r>
        <w:t xml:space="preserve">Goal requirements:</w:t>
      </w:r>
    </w:p>
    <w:p>
      <w:pPr>
        <w:pStyle w:val="FirstParagraph"/>
      </w:pPr>
      <w:r>
        <w:t xml:space="preserve">As threshold.</w:t>
      </w:r>
      <w:r>
        <w:t xml:space="preserve"> </w:t>
      </w:r>
    </w:p>
    <w:bookmarkEnd w:id="185"/>
    <w:bookmarkStart w:id="186" w:name="assessment-37"/>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86"/>
    <w:bookmarkEnd w:id="187"/>
    <w:bookmarkStart w:id="191" w:name="sec:pxl-piwaele"/>
    <w:p>
      <w:pPr>
        <w:pStyle w:val="berschrift4"/>
      </w:pPr>
      <w:r>
        <w:rPr>
          <w:rStyle w:val="VerbatimChar"/>
        </w:rPr>
        <w:t xml:space="preserve">2.20.</w:t>
      </w:r>
      <w:r>
        <w:t xml:space="preserve"> </w:t>
      </w:r>
      <w:r>
        <w:t xml:space="preserve">Elevation</w:t>
      </w:r>
    </w:p>
    <w:p>
      <w:pPr>
        <w:pStyle w:val="FirstParagraph"/>
      </w:pPr>
      <w:r>
        <w:t xml:space="preserve">Identifier:</w:t>
      </w:r>
      <w:r>
        <w:t xml:space="preserve"> </w:t>
      </w:r>
      <w:r>
        <w:rPr>
          <w:rStyle w:val="VerbatimChar"/>
        </w:rPr>
        <w:t xml:space="preserve">pxl-piwaele</w:t>
      </w:r>
    </w:p>
    <w:bookmarkStart w:id="188" w:name="threshold-requirements-38"/>
    <w:p>
      <w:pPr>
        <w:pStyle w:val="berschrift5"/>
      </w:pPr>
      <w:r>
        <w:t xml:space="preserve">Threshold requirements:</w:t>
      </w:r>
    </w:p>
    <w:p>
      <w:pPr>
        <w:pStyle w:val="FirstParagraph"/>
      </w:pPr>
      <w:r>
        <w:t xml:space="preserve">Specification of approximate elevation (above mean sea level) of the surface of the water body pixels is required for atmospheric correction (range = -430 m to approx. 6500 m)</w:t>
      </w:r>
    </w:p>
    <w:p>
      <w:pPr>
        <w:pStyle w:val="Textkrper"/>
      </w:pPr>
      <w:r>
        <w:t xml:space="preserve">Note:</w:t>
      </w:r>
    </w:p>
    <w:p>
      <w:pPr>
        <w:pStyle w:val="Compact"/>
        <w:numPr>
          <w:ilvl w:val="0"/>
          <w:numId w:val="1062"/>
        </w:numPr>
      </w:pPr>
      <w:r>
        <w:t xml:space="preserve">See</w:t>
      </w:r>
      <w:r>
        <w:t xml:space="preserve"> </w:t>
      </w:r>
      <w:r>
        <w:t xml:space="preserve">Guth et al. (</w:t>
      </w:r>
      <w:hyperlink w:anchor="ref-guth2021">
        <w:r>
          <w:rPr>
            <w:rStyle w:val="Hyperlink"/>
          </w:rPr>
          <w:t xml:space="preserve">2021</w:t>
        </w:r>
      </w:hyperlink>
      <w:r>
        <w:t xml:space="preserve">)</w:t>
      </w:r>
      <w:r>
        <w:t xml:space="preserve">.</w:t>
      </w:r>
    </w:p>
    <w:bookmarkEnd w:id="188"/>
    <w:bookmarkStart w:id="189" w:name="goal-requirements-38"/>
    <w:p>
      <w:pPr>
        <w:pStyle w:val="berschrift5"/>
      </w:pPr>
      <w:r>
        <w:t xml:space="preserve">Goal requirements:</w:t>
      </w:r>
    </w:p>
    <w:p>
      <w:pPr>
        <w:pStyle w:val="FirstParagraph"/>
      </w:pPr>
      <w:r>
        <w:t xml:space="preserve">As threshold.</w:t>
      </w:r>
      <w:r>
        <w:t xml:space="preserve"> </w:t>
      </w:r>
    </w:p>
    <w:bookmarkEnd w:id="189"/>
    <w:bookmarkStart w:id="190" w:name="assessment-38"/>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bookmarkEnd w:id="190"/>
    <w:bookmarkEnd w:id="191"/>
    <w:bookmarkEnd w:id="192"/>
    <w:bookmarkStart w:id="241" w:name="sec:pral"/>
    <w:p>
      <w:pPr>
        <w:pStyle w:val="berschrift3"/>
      </w:pPr>
      <w:r>
        <w:rPr>
          <w:rStyle w:val="VerbatimChar"/>
        </w:rPr>
        <w:t xml:space="preserve">3.</w:t>
      </w:r>
      <w:r>
        <w:t xml:space="preserve"> </w:t>
      </w:r>
      <w:r>
        <w:t xml:space="preserve">Products and Algorithms</w:t>
      </w:r>
    </w:p>
    <w:p>
      <w:pPr>
        <w:pStyle w:val="FirstParagraph"/>
      </w:pPr>
      <w:r>
        <w:t xml:space="preserve">The following requirements must be met for all pixels in a collection. The requirements specify both the necessary outcomes and the minimum steps necessary to be deemed to have achieved those outcomes.</w:t>
      </w:r>
    </w:p>
    <w:p>
      <w:pPr>
        <w:pStyle w:val="Textkrper"/>
      </w:pPr>
      <w:r>
        <w:t xml:space="preserve">Metadata must contain a single DOI landing page with relevant information to support each requirement. For corrections, references to a citable peer-reviewed algorithm or technical documentation regarding the implementation of that algorithm and the sources of ancillary data used to make corrections/provision of parameterisation data are required. Examples of technical documentation include an Algorithm Theoretical Basis Document, product user guide, etc.</w:t>
      </w:r>
    </w:p>
    <w:bookmarkStart w:id="196" w:name="sec:pral-measur-ar"/>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pral-measur-ar</w:t>
      </w:r>
    </w:p>
    <w:bookmarkStart w:id="193" w:name="threshold-requirements-39"/>
    <w:p>
      <w:pPr>
        <w:pStyle w:val="berschrift5"/>
      </w:pPr>
      <w:r>
        <w:t xml:space="preserve">Threshold requirements:</w:t>
      </w:r>
    </w:p>
    <w:p>
      <w:pPr>
        <w:pStyle w:val="FirstParagraph"/>
      </w:pPr>
      <w:r>
        <w:t xml:space="preserve">Pixel values that are expressed as a measurement of the Aquatic Reflectance (dimensionless) or the Remote Sensing Reflectance (</w:t>
      </w:r>
      <m:oMath>
        <m:r>
          <m:t>s</m:t>
        </m:r>
        <m:sSup>
          <m:e>
            <m:r>
              <m:t>r</m:t>
            </m:r>
          </m:e>
          <m:sup>
            <m:r>
              <m:rPr>
                <m:sty m:val="p"/>
              </m:rPr>
              <m:t>−</m:t>
            </m:r>
            <m:r>
              <m:t>1</m:t>
            </m:r>
          </m:sup>
        </m:sSup>
      </m:oMath>
      <w:r>
        <w:t xml:space="preserve">) of the water bodies (</w:t>
      </w:r>
      <m:oMath>
        <m:r>
          <m:t>A</m:t>
        </m:r>
        <m:r>
          <m:t>R</m:t>
        </m:r>
        <m:r>
          <m:rPr>
            <m:sty m:val="p"/>
          </m:rPr>
          <m:t>=</m:t>
        </m:r>
        <m:r>
          <m:t>π</m:t>
        </m:r>
        <m:r>
          <m:rPr>
            <m:sty m:val="p"/>
          </m:rPr>
          <m:t>⋅</m:t>
        </m:r>
        <m:sSub>
          <m:e>
            <m:r>
              <m:t>R</m:t>
            </m:r>
          </m:e>
          <m:sub>
            <m:r>
              <m:t>r</m:t>
            </m:r>
            <m:r>
              <m:t>s</m:t>
            </m:r>
          </m:sub>
        </m:sSub>
      </m:oMath>
      <w:r>
        <w:t xml:space="preserve">).</w:t>
      </w:r>
    </w:p>
    <w:p>
      <w:pPr>
        <w:pStyle w:val="Textkrper"/>
      </w:pPr>
      <w:r>
        <w:t xml:space="preserve">Note:</w:t>
      </w:r>
    </w:p>
    <w:p>
      <w:pPr>
        <w:pStyle w:val="Compact"/>
        <w:numPr>
          <w:ilvl w:val="0"/>
          <w:numId w:val="1064"/>
        </w:numPr>
      </w:pPr>
      <w:r>
        <w:t xml:space="preserve">Radiometric corrections must lead to a valid measurement of aquatic reflectance.</w:t>
      </w:r>
    </w:p>
    <w:bookmarkEnd w:id="193"/>
    <w:bookmarkStart w:id="194" w:name="goal-requirements-39"/>
    <w:p>
      <w:pPr>
        <w:pStyle w:val="berschrift5"/>
      </w:pPr>
      <w:r>
        <w:t xml:space="preserve">Goal requirements:</w:t>
      </w:r>
    </w:p>
    <w:p>
      <w:pPr>
        <w:pStyle w:val="FirstParagraph"/>
      </w:pPr>
      <w:r>
        <w:t xml:space="preserve">As threshold.</w:t>
      </w:r>
    </w:p>
    <w:p>
      <w:pPr>
        <w:pStyle w:val="Textkrper"/>
      </w:pPr>
      <w:r>
        <w:t xml:space="preserve">Note:</w:t>
      </w:r>
    </w:p>
    <w:p>
      <w:pPr>
        <w:pStyle w:val="Compact"/>
        <w:numPr>
          <w:ilvl w:val="0"/>
          <w:numId w:val="1065"/>
        </w:numPr>
      </w:pPr>
      <w:r>
        <w:t xml:space="preserve">See also Section </w:t>
      </w:r>
      <w:r>
        <w:t xml:space="preserve">“</w:t>
      </w:r>
      <w:hyperlink w:anchor="sec:meta-trace-ar">
        <w:r>
          <w:rPr>
            <w:rStyle w:val="Hyperlink"/>
          </w:rPr>
          <w:t xml:space="preserve">General Metadata: Traceability</w:t>
        </w:r>
      </w:hyperlink>
      <w:r>
        <w:t xml:space="preserve">”</w:t>
      </w:r>
      <w:r>
        <w:t xml:space="preserve"> </w:t>
      </w:r>
      <w:r>
        <w:t xml:space="preserve">and Section </w:t>
      </w:r>
      <w:r>
        <w:t xml:space="preserve">“</w:t>
      </w:r>
      <w:hyperlink w:anchor="sec:pral-mnormal-ar">
        <w:r>
          <w:rPr>
            <w:rStyle w:val="Hyperlink"/>
          </w:rPr>
          <w:t xml:space="preserve">Products and Algorithms: Measurement Normalisation</w:t>
        </w:r>
      </w:hyperlink>
      <w:r>
        <w:t xml:space="preserve">”</w:t>
      </w:r>
    </w:p>
    <w:bookmarkEnd w:id="194"/>
    <w:bookmarkStart w:id="195" w:name="assessment-39"/>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95"/>
    <w:bookmarkEnd w:id="196"/>
    <w:bookmarkStart w:id="200" w:name="sec:pral-muncer-ar"/>
    <w:p>
      <w:pPr>
        <w:pStyle w:val="berschrift4"/>
      </w:pPr>
      <w:r>
        <w:rPr>
          <w:rStyle w:val="VerbatimChar"/>
        </w:rPr>
        <w:t xml:space="preserve">3.2.</w:t>
      </w:r>
      <w:r>
        <w:t xml:space="preserve"> </w:t>
      </w:r>
      <w:r>
        <w:t xml:space="preserve">Measurement Uncertainty</w:t>
      </w:r>
    </w:p>
    <w:p>
      <w:pPr>
        <w:pStyle w:val="FirstParagraph"/>
      </w:pPr>
      <w:r>
        <w:t xml:space="preserve">Identifier:</w:t>
      </w:r>
      <w:r>
        <w:t xml:space="preserve"> </w:t>
      </w:r>
      <w:r>
        <w:rPr>
          <w:rStyle w:val="VerbatimChar"/>
        </w:rPr>
        <w:t xml:space="preserve">pral-muncer-ar</w:t>
      </w:r>
    </w:p>
    <w:bookmarkStart w:id="197" w:name="threshold-requirements-40"/>
    <w:p>
      <w:pPr>
        <w:pStyle w:val="berschrift5"/>
      </w:pPr>
      <w:r>
        <w:t xml:space="preserve">Threshold requirements:</w:t>
      </w:r>
    </w:p>
    <w:p>
      <w:pPr>
        <w:pStyle w:val="FirstParagraph"/>
      </w:pPr>
      <w:r>
        <w:t xml:space="preserve">An estimate of the uncertainty of the values is provided in measurement units, following the BIPM Guide to the Expression of Uncertainty in Measurement (GUM).</w:t>
      </w:r>
    </w:p>
    <w:p>
      <w:pPr>
        <w:pStyle w:val="Textkrper"/>
      </w:pPr>
      <w:r>
        <w:t xml:space="preserve">Notes:</w:t>
      </w:r>
    </w:p>
    <w:p>
      <w:pPr>
        <w:pStyle w:val="Compact"/>
        <w:numPr>
          <w:ilvl w:val="0"/>
          <w:numId w:val="1067"/>
        </w:numPr>
      </w:pPr>
      <w:r>
        <w:t xml:space="preserve">In current practice, users determine fitness for purpose based on knowledge of the lineage of the data, rather than on a specific estimate of measurement uncertainty.</w:t>
      </w:r>
    </w:p>
    <w:p>
      <w:pPr>
        <w:pStyle w:val="Compact"/>
        <w:numPr>
          <w:ilvl w:val="0"/>
          <w:numId w:val="1067"/>
        </w:numPr>
      </w:pPr>
      <w:r>
        <w:t xml:space="preserve">See</w:t>
      </w:r>
      <w:r>
        <w:t xml:space="preserve"> </w:t>
      </w:r>
      <w:r>
        <w:t xml:space="preserve">JCGM Working Group 1 (</w:t>
      </w:r>
      <w:hyperlink w:anchor="ref-gum_6_2020">
        <w:r>
          <w:rPr>
            <w:rStyle w:val="Hyperlink"/>
          </w:rPr>
          <w:t xml:space="preserve">2020</w:t>
        </w:r>
      </w:hyperlink>
      <w:r>
        <w:t xml:space="preserve">)</w:t>
      </w:r>
      <w:r>
        <w:t xml:space="preserve"> </w:t>
      </w:r>
      <w:r>
        <w:t xml:space="preserve">and</w:t>
      </w:r>
      <w:r>
        <w:t xml:space="preserve"> </w:t>
      </w:r>
      <w:r>
        <w:t xml:space="preserve">Vabson et al. (</w:t>
      </w:r>
      <w:hyperlink w:anchor="ref-vabson2024">
        <w:r>
          <w:rPr>
            <w:rStyle w:val="Hyperlink"/>
          </w:rPr>
          <w:t xml:space="preserve">2024</w:t>
        </w:r>
      </w:hyperlink>
      <w:r>
        <w:t xml:space="preserve">)</w:t>
      </w:r>
      <w:r>
        <w:t xml:space="preserve">.</w:t>
      </w:r>
    </w:p>
    <w:bookmarkEnd w:id="197"/>
    <w:bookmarkStart w:id="198" w:name="goal-requirements-40"/>
    <w:p>
      <w:pPr>
        <w:pStyle w:val="berschrift5"/>
      </w:pPr>
      <w:r>
        <w:t xml:space="preserve">Goal requirements:</w:t>
      </w:r>
    </w:p>
    <w:p>
      <w:pPr>
        <w:pStyle w:val="FirstParagraph"/>
      </w:pPr>
      <w:r>
        <w:t xml:space="preserve">As threshold.</w:t>
      </w:r>
      <w:r>
        <w:t xml:space="preserve"> </w:t>
      </w:r>
    </w:p>
    <w:bookmarkEnd w:id="198"/>
    <w:bookmarkStart w:id="199" w:name="assessment-40"/>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99"/>
    <w:bookmarkEnd w:id="200"/>
    <w:bookmarkStart w:id="204" w:name="sec:pral-mnormal-ar"/>
    <w:p>
      <w:pPr>
        <w:pStyle w:val="berschrift4"/>
      </w:pPr>
      <w:r>
        <w:rPr>
          <w:rStyle w:val="VerbatimChar"/>
        </w:rPr>
        <w:t xml:space="preserve">3.3.</w:t>
      </w:r>
      <w:r>
        <w:t xml:space="preserve"> </w:t>
      </w:r>
      <w:r>
        <w:t xml:space="preserve">Measurement Normalisation</w:t>
      </w:r>
    </w:p>
    <w:p>
      <w:pPr>
        <w:pStyle w:val="FirstParagraph"/>
      </w:pPr>
      <w:r>
        <w:t xml:space="preserve">Identifier:</w:t>
      </w:r>
      <w:r>
        <w:t xml:space="preserve"> </w:t>
      </w:r>
      <w:r>
        <w:rPr>
          <w:rStyle w:val="VerbatimChar"/>
        </w:rPr>
        <w:t xml:space="preserve">pral-mnormal-ar</w:t>
      </w:r>
    </w:p>
    <w:bookmarkStart w:id="201" w:name="threshold-requirements-41"/>
    <w:p>
      <w:pPr>
        <w:pStyle w:val="berschrift5"/>
      </w:pPr>
      <w:r>
        <w:t xml:space="preserve">Threshold requirements:</w:t>
      </w:r>
    </w:p>
    <w:p>
      <w:pPr>
        <w:pStyle w:val="FirstParagraph"/>
      </w:pPr>
      <w:r>
        <w:t xml:space="preserve">Not required.</w:t>
      </w:r>
      <w:r>
        <w:t xml:space="preserve"> </w:t>
      </w:r>
    </w:p>
    <w:bookmarkEnd w:id="201"/>
    <w:bookmarkStart w:id="202" w:name="goal-requirements-41"/>
    <w:p>
      <w:pPr>
        <w:pStyle w:val="berschrift5"/>
      </w:pPr>
      <w:r>
        <w:t xml:space="preserve">Goal requirements:</w:t>
      </w:r>
    </w:p>
    <w:p>
      <w:pPr>
        <w:pStyle w:val="FirstParagraph"/>
      </w:pPr>
      <w:r>
        <w:t xml:space="preserve">Measurements are normalised (to nadir) to remove the effect of bidirectional dependence of the upwelling radiance on observation and solar-illumination geometries.</w:t>
      </w:r>
    </w:p>
    <w:bookmarkEnd w:id="202"/>
    <w:bookmarkStart w:id="203" w:name="assessment-41"/>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203"/>
    <w:bookmarkEnd w:id="204"/>
    <w:bookmarkStart w:id="208" w:name="sec:pral-dirats-ar"/>
    <w:p>
      <w:pPr>
        <w:pStyle w:val="berschrift4"/>
      </w:pPr>
      <w:r>
        <w:rPr>
          <w:rStyle w:val="VerbatimChar"/>
        </w:rPr>
        <w:t xml:space="preserve">3.4.</w:t>
      </w:r>
      <w:r>
        <w:t xml:space="preserve"> </w:t>
      </w:r>
      <w:r>
        <w:t xml:space="preserve">Directional Atmospheric Scattering</w:t>
      </w:r>
    </w:p>
    <w:p>
      <w:pPr>
        <w:pStyle w:val="FirstParagraph"/>
      </w:pPr>
      <w:r>
        <w:t xml:space="preserve">Identifier:</w:t>
      </w:r>
      <w:r>
        <w:t xml:space="preserve"> </w:t>
      </w:r>
      <w:r>
        <w:rPr>
          <w:rStyle w:val="VerbatimChar"/>
        </w:rPr>
        <w:t xml:space="preserve">pral-dirats-ar</w:t>
      </w:r>
    </w:p>
    <w:bookmarkStart w:id="205" w:name="threshold-requirements-42"/>
    <w:p>
      <w:pPr>
        <w:pStyle w:val="berschrift5"/>
      </w:pPr>
      <w:r>
        <w:t xml:space="preserve">Threshold requirements:</w:t>
      </w:r>
    </w:p>
    <w:p>
      <w:pPr>
        <w:pStyle w:val="FirstParagraph"/>
      </w:pPr>
      <w:r>
        <w:t xml:space="preserve">Specification of corrections applied for molecular (Rayleigh) scattering and for aerosol scattering and absorption..</w:t>
      </w:r>
    </w:p>
    <w:p>
      <w:pPr>
        <w:pStyle w:val="Textkrper"/>
      </w:pPr>
      <w:r>
        <w:t xml:space="preserve">Note:</w:t>
      </w:r>
    </w:p>
    <w:p>
      <w:pPr>
        <w:pStyle w:val="Compact"/>
        <w:numPr>
          <w:ilvl w:val="0"/>
          <w:numId w:val="1070"/>
        </w:numPr>
      </w:pPr>
      <w:r>
        <w:t xml:space="preserve">See</w:t>
      </w:r>
      <w:r>
        <w:t xml:space="preserve"> </w:t>
      </w:r>
      <w:r>
        <w:t xml:space="preserve">Mobley et al. (</w:t>
      </w:r>
      <w:hyperlink w:anchor="ref-mobley2016">
        <w:r>
          <w:rPr>
            <w:rStyle w:val="Hyperlink"/>
          </w:rPr>
          <w:t xml:space="preserve">2016</w:t>
        </w:r>
      </w:hyperlink>
      <w:r>
        <w:t xml:space="preserve">)</w:t>
      </w:r>
      <w:r>
        <w:t xml:space="preserve">.</w:t>
      </w:r>
    </w:p>
    <w:bookmarkEnd w:id="205"/>
    <w:bookmarkStart w:id="206" w:name="goal-requirements-42"/>
    <w:p>
      <w:pPr>
        <w:pStyle w:val="berschrift5"/>
      </w:pPr>
      <w:r>
        <w:t xml:space="preserve">Goal requirements:</w:t>
      </w:r>
    </w:p>
    <w:p>
      <w:pPr>
        <w:pStyle w:val="FirstParagraph"/>
      </w:pPr>
      <w:r>
        <w:t xml:space="preserve">As threshold.</w:t>
      </w:r>
      <w:r>
        <w:t xml:space="preserve"> </w:t>
      </w:r>
    </w:p>
    <w:bookmarkEnd w:id="206"/>
    <w:bookmarkStart w:id="207" w:name="assessment-42"/>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07"/>
    <w:bookmarkEnd w:id="208"/>
    <w:bookmarkStart w:id="212" w:name="sec:pral-wavap-ar"/>
    <w:p>
      <w:pPr>
        <w:pStyle w:val="berschrift4"/>
      </w:pPr>
      <w:r>
        <w:rPr>
          <w:rStyle w:val="VerbatimChar"/>
        </w:rPr>
        <w:t xml:space="preserve">3.5.</w:t>
      </w:r>
      <w:r>
        <w:t xml:space="preserve"> </w:t>
      </w:r>
      <w:r>
        <w:t xml:space="preserve">Water Vapour Corrections</w:t>
      </w:r>
    </w:p>
    <w:p>
      <w:pPr>
        <w:pStyle w:val="FirstParagraph"/>
      </w:pPr>
      <w:r>
        <w:t xml:space="preserve">Identifier:</w:t>
      </w:r>
      <w:r>
        <w:t xml:space="preserve"> </w:t>
      </w:r>
      <w:r>
        <w:rPr>
          <w:rStyle w:val="VerbatimChar"/>
        </w:rPr>
        <w:t xml:space="preserve">pral-wavap-ar</w:t>
      </w:r>
    </w:p>
    <w:bookmarkStart w:id="209" w:name="threshold-requirements-43"/>
    <w:p>
      <w:pPr>
        <w:pStyle w:val="berschrift5"/>
      </w:pPr>
      <w:r>
        <w:t xml:space="preserve">Threshold requirements:</w:t>
      </w:r>
    </w:p>
    <w:p>
      <w:pPr>
        <w:pStyle w:val="FirstParagraph"/>
      </w:pPr>
      <w:r>
        <w:t xml:space="preserve">Corrections are applied for water vapour if spectral bands are affected.</w:t>
      </w:r>
    </w:p>
    <w:bookmarkEnd w:id="209"/>
    <w:bookmarkStart w:id="210" w:name="goal-requirements-43"/>
    <w:p>
      <w:pPr>
        <w:pStyle w:val="berschrift5"/>
      </w:pPr>
      <w:r>
        <w:t xml:space="preserve">Goal requirements:</w:t>
      </w:r>
    </w:p>
    <w:p>
      <w:pPr>
        <w:pStyle w:val="FirstParagraph"/>
      </w:pPr>
      <w:r>
        <w:t xml:space="preserve">As threshold.</w:t>
      </w:r>
      <w:r>
        <w:t xml:space="preserve"> </w:t>
      </w:r>
    </w:p>
    <w:bookmarkEnd w:id="210"/>
    <w:bookmarkStart w:id="211" w:name="assessment-43"/>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211"/>
    <w:bookmarkEnd w:id="212"/>
    <w:bookmarkStart w:id="216" w:name="sec:pral-cozone"/>
    <w:p>
      <w:pPr>
        <w:pStyle w:val="berschrift4"/>
      </w:pPr>
      <w:r>
        <w:rPr>
          <w:rStyle w:val="VerbatimChar"/>
        </w:rPr>
        <w:t xml:space="preserve">3.6.</w:t>
      </w:r>
      <w:r>
        <w:t xml:space="preserve"> </w:t>
      </w:r>
      <w:r>
        <w:t xml:space="preserve">Ozone Corrections</w:t>
      </w:r>
    </w:p>
    <w:p>
      <w:pPr>
        <w:pStyle w:val="FirstParagraph"/>
      </w:pPr>
      <w:r>
        <w:t xml:space="preserve">Identifier:</w:t>
      </w:r>
      <w:r>
        <w:t xml:space="preserve"> </w:t>
      </w:r>
      <w:r>
        <w:rPr>
          <w:rStyle w:val="VerbatimChar"/>
        </w:rPr>
        <w:t xml:space="preserve">pral-cozone</w:t>
      </w:r>
    </w:p>
    <w:bookmarkStart w:id="213" w:name="threshold-requirements-44"/>
    <w:p>
      <w:pPr>
        <w:pStyle w:val="berschrift5"/>
      </w:pPr>
      <w:r>
        <w:t xml:space="preserve">Threshold requirements:</w:t>
      </w:r>
    </w:p>
    <w:p>
      <w:pPr>
        <w:pStyle w:val="FirstParagraph"/>
      </w:pPr>
      <w:r>
        <w:t xml:space="preserve">Data is corrected for ozone if spectral bands are affected.</w:t>
      </w:r>
    </w:p>
    <w:p>
      <w:pPr>
        <w:pStyle w:val="Textkrper"/>
      </w:pPr>
      <w:r>
        <w:t xml:space="preserve">Notes:</w:t>
      </w:r>
    </w:p>
    <w:p>
      <w:pPr>
        <w:pStyle w:val="Compact"/>
        <w:numPr>
          <w:ilvl w:val="0"/>
          <w:numId w:val="1073"/>
        </w:numPr>
      </w:pPr>
      <w:r>
        <w:t xml:space="preserve">Relevant metadata must be provided in Section </w:t>
      </w:r>
      <w:r>
        <w:t xml:space="preserve">“</w:t>
      </w:r>
      <w:hyperlink w:anchor="sec:meta-geounc">
        <w:r>
          <w:rPr>
            <w:rStyle w:val="Hyperlink"/>
          </w:rPr>
          <w:t xml:space="preserve">General Metadata: Geometric Uncertainty of the Data</w:t>
        </w:r>
      </w:hyperlink>
      <w:r>
        <w:t xml:space="preserve">”</w:t>
      </w:r>
      <w:r>
        <w:t xml:space="preserve"> </w:t>
      </w:r>
      <w:r>
        <w:t xml:space="preserve">and Section </w:t>
      </w:r>
      <w:r>
        <w:t xml:space="preserve">“</w:t>
      </w:r>
      <w:hyperlink w:anchor="sec:meta-instru-ar">
        <w:r>
          <w:rPr>
            <w:rStyle w:val="Hyperlink"/>
          </w:rPr>
          <w:t xml:space="preserve">General Metadata: Instrument</w:t>
        </w:r>
      </w:hyperlink>
      <w:r>
        <w:t xml:space="preserve">”</w:t>
      </w:r>
      <w:r>
        <w:t xml:space="preserve">.</w:t>
      </w:r>
    </w:p>
    <w:p>
      <w:pPr>
        <w:pStyle w:val="Compact"/>
        <w:numPr>
          <w:ilvl w:val="0"/>
          <w:numId w:val="1073"/>
        </w:numPr>
      </w:pPr>
      <w:r>
        <w:t xml:space="preserve">See</w:t>
      </w:r>
      <w:r>
        <w:t xml:space="preserve"> </w:t>
      </w:r>
      <w:r>
        <w:t xml:space="preserve">Keukelaere et al. (</w:t>
      </w:r>
      <w:hyperlink w:anchor="ref-dekeukelaere2018">
        <w:r>
          <w:rPr>
            <w:rStyle w:val="Hyperlink"/>
          </w:rPr>
          <w:t xml:space="preserve">2018</w:t>
        </w:r>
      </w:hyperlink>
      <w:r>
        <w:t xml:space="preserve">)</w:t>
      </w:r>
      <w:r>
        <w:t xml:space="preserve">,</w:t>
      </w:r>
      <w:r>
        <w:t xml:space="preserve"> </w:t>
      </w:r>
      <w:r>
        <w:t xml:space="preserve">Harmel et al. (</w:t>
      </w:r>
      <w:hyperlink w:anchor="ref-harmel2018">
        <w:r>
          <w:rPr>
            <w:rStyle w:val="Hyperlink"/>
          </w:rPr>
          <w:t xml:space="preserve">2018</w:t>
        </w:r>
      </w:hyperlink>
      <w:r>
        <w:t xml:space="preserve">)</w:t>
      </w:r>
      <w:r>
        <w:t xml:space="preserve">,</w:t>
      </w:r>
      <w:r>
        <w:t xml:space="preserve"> </w:t>
      </w:r>
      <w:r>
        <w:t xml:space="preserve">Mobley et al. (</w:t>
      </w:r>
      <w:hyperlink w:anchor="ref-mobley2016">
        <w:r>
          <w:rPr>
            <w:rStyle w:val="Hyperlink"/>
          </w:rPr>
          <w:t xml:space="preserve">2016</w:t>
        </w:r>
      </w:hyperlink>
      <w:r>
        <w:t xml:space="preserve">)</w:t>
      </w:r>
      <w:r>
        <w:t xml:space="preserve">,</w:t>
      </w:r>
      <w:r>
        <w:t xml:space="preserve"> </w:t>
      </w:r>
      <w:r>
        <w:t xml:space="preserve">Pahlevan et al. (</w:t>
      </w:r>
      <w:hyperlink w:anchor="ref-pahlevan2017">
        <w:r>
          <w:rPr>
            <w:rStyle w:val="Hyperlink"/>
          </w:rPr>
          <w:t xml:space="preserve">2017</w:t>
        </w:r>
      </w:hyperlink>
      <w:r>
        <w:t xml:space="preserve">)</w:t>
      </w:r>
      <w:r>
        <w:t xml:space="preserve">,</w:t>
      </w:r>
      <w:r>
        <w:t xml:space="preserve"> </w:t>
      </w:r>
      <w:r>
        <w:t xml:space="preserve">Pahlevan et al. (</w:t>
      </w:r>
      <w:hyperlink w:anchor="ref-pahlevan2021">
        <w:r>
          <w:rPr>
            <w:rStyle w:val="Hyperlink"/>
          </w:rPr>
          <w:t xml:space="preserve">2021</w:t>
        </w:r>
      </w:hyperlink>
      <w:r>
        <w:t xml:space="preserve">)</w:t>
      </w:r>
      <w:r>
        <w:t xml:space="preserve">, and</w:t>
      </w:r>
      <w:r>
        <w:t xml:space="preserve"> </w:t>
      </w:r>
      <w:r>
        <w:t xml:space="preserve">Vanhellemont (</w:t>
      </w:r>
      <w:hyperlink w:anchor="ref-vanhellemont2019">
        <w:r>
          <w:rPr>
            <w:rStyle w:val="Hyperlink"/>
          </w:rPr>
          <w:t xml:space="preserve">2019</w:t>
        </w:r>
      </w:hyperlink>
      <w:r>
        <w:t xml:space="preserve">)</w:t>
      </w:r>
      <w:r>
        <w:t xml:space="preserve">.</w:t>
      </w:r>
    </w:p>
    <w:bookmarkEnd w:id="213"/>
    <w:bookmarkStart w:id="214" w:name="goal-requirements-44"/>
    <w:p>
      <w:pPr>
        <w:pStyle w:val="berschrift5"/>
      </w:pPr>
      <w:r>
        <w:t xml:space="preserve">Goal requirements:</w:t>
      </w:r>
    </w:p>
    <w:p>
      <w:pPr>
        <w:pStyle w:val="FirstParagraph"/>
      </w:pPr>
      <w:r>
        <w:t xml:space="preserve">As threshold.</w:t>
      </w:r>
      <w:r>
        <w:t xml:space="preserve"> </w:t>
      </w:r>
    </w:p>
    <w:bookmarkEnd w:id="214"/>
    <w:bookmarkStart w:id="215" w:name="assessment-44"/>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15"/>
    <w:bookmarkEnd w:id="216"/>
    <w:bookmarkStart w:id="220" w:name="sec:pral-ogasab"/>
    <w:p>
      <w:pPr>
        <w:pStyle w:val="berschrift4"/>
      </w:pPr>
      <w:r>
        <w:rPr>
          <w:rStyle w:val="VerbatimChar"/>
        </w:rPr>
        <w:t xml:space="preserve">3.7.</w:t>
      </w:r>
      <w:r>
        <w:t xml:space="preserve"> </w:t>
      </w:r>
      <w:r>
        <w:t xml:space="preserve">Other Gaseous Absorption Corrections</w:t>
      </w:r>
    </w:p>
    <w:p>
      <w:pPr>
        <w:pStyle w:val="FirstParagraph"/>
      </w:pPr>
      <w:r>
        <w:t xml:space="preserve">Identifier:</w:t>
      </w:r>
      <w:r>
        <w:t xml:space="preserve"> </w:t>
      </w:r>
      <w:r>
        <w:rPr>
          <w:rStyle w:val="VerbatimChar"/>
        </w:rPr>
        <w:t xml:space="preserve">pral-ogasab</w:t>
      </w:r>
    </w:p>
    <w:bookmarkStart w:id="217" w:name="threshold-requirements-45"/>
    <w:p>
      <w:pPr>
        <w:pStyle w:val="berschrift5"/>
      </w:pPr>
      <w:r>
        <w:t xml:space="preserve">Threshold requirements:</w:t>
      </w:r>
    </w:p>
    <w:p>
      <w:pPr>
        <w:pStyle w:val="FirstParagraph"/>
      </w:pPr>
      <w:r>
        <w:t xml:space="preserve">Not required.</w:t>
      </w:r>
      <w:r>
        <w:t xml:space="preserve"> </w:t>
      </w:r>
    </w:p>
    <w:bookmarkEnd w:id="217"/>
    <w:bookmarkStart w:id="218" w:name="goal-requirements-45"/>
    <w:p>
      <w:pPr>
        <w:pStyle w:val="berschrift5"/>
      </w:pPr>
      <w:r>
        <w:t xml:space="preserve">Goal requirements:</w:t>
      </w:r>
    </w:p>
    <w:p>
      <w:pPr>
        <w:pStyle w:val="FirstParagraph"/>
      </w:pPr>
      <w:r>
        <w:t xml:space="preserve">Data is corrected for other trace gaseous absorption for affected spectral bands.</w:t>
      </w:r>
    </w:p>
    <w:p>
      <w:pPr>
        <w:pStyle w:val="Textkrper"/>
      </w:pPr>
      <w:r>
        <w:t xml:space="preserve">Notes:</w:t>
      </w:r>
    </w:p>
    <w:p>
      <w:pPr>
        <w:pStyle w:val="Compact"/>
        <w:numPr>
          <w:ilvl w:val="0"/>
          <w:numId w:val="1075"/>
        </w:numPr>
      </w:pPr>
      <w:r>
        <w:t xml:space="preserve">Relevant metadata must be provided in Section </w:t>
      </w:r>
      <w:r>
        <w:t xml:space="preserve">“</w:t>
      </w:r>
      <w:hyperlink w:anchor="sec:meta-geounc">
        <w:r>
          <w:rPr>
            <w:rStyle w:val="Hyperlink"/>
          </w:rPr>
          <w:t xml:space="preserve">General Metadata: Geometric Uncertainty of the Data</w:t>
        </w:r>
      </w:hyperlink>
      <w:r>
        <w:t xml:space="preserve">”</w:t>
      </w:r>
      <w:r>
        <w:t xml:space="preserve"> </w:t>
      </w:r>
      <w:r>
        <w:t xml:space="preserve">and Section </w:t>
      </w:r>
      <w:r>
        <w:t xml:space="preserve">“</w:t>
      </w:r>
      <w:hyperlink w:anchor="sec:meta-instru-ar">
        <w:r>
          <w:rPr>
            <w:rStyle w:val="Hyperlink"/>
          </w:rPr>
          <w:t xml:space="preserve">General Metadata: Instrument</w:t>
        </w:r>
      </w:hyperlink>
      <w:r>
        <w:t xml:space="preserve">”</w:t>
      </w:r>
      <w:r>
        <w:t xml:space="preserve">.</w:t>
      </w:r>
    </w:p>
    <w:p>
      <w:pPr>
        <w:pStyle w:val="Compact"/>
        <w:numPr>
          <w:ilvl w:val="0"/>
          <w:numId w:val="1075"/>
        </w:numPr>
      </w:pPr>
      <w:r>
        <w:t xml:space="preserve">See</w:t>
      </w:r>
      <w:r>
        <w:t xml:space="preserve"> </w:t>
      </w:r>
      <w:r>
        <w:t xml:space="preserve">Keukelaere et al. (</w:t>
      </w:r>
      <w:hyperlink w:anchor="ref-dekeukelaere2018">
        <w:r>
          <w:rPr>
            <w:rStyle w:val="Hyperlink"/>
          </w:rPr>
          <w:t xml:space="preserve">2018</w:t>
        </w:r>
      </w:hyperlink>
      <w:r>
        <w:t xml:space="preserve">)</w:t>
      </w:r>
      <w:r>
        <w:t xml:space="preserve">,</w:t>
      </w:r>
      <w:r>
        <w:t xml:space="preserve"> </w:t>
      </w:r>
      <w:r>
        <w:t xml:space="preserve">Harmel et al. (</w:t>
      </w:r>
      <w:hyperlink w:anchor="ref-harmel2018">
        <w:r>
          <w:rPr>
            <w:rStyle w:val="Hyperlink"/>
          </w:rPr>
          <w:t xml:space="preserve">2018</w:t>
        </w:r>
      </w:hyperlink>
      <w:r>
        <w:t xml:space="preserve">)</w:t>
      </w:r>
      <w:r>
        <w:t xml:space="preserve">,</w:t>
      </w:r>
      <w:r>
        <w:t xml:space="preserve"> </w:t>
      </w:r>
      <w:r>
        <w:t xml:space="preserve">Mobley et al. (</w:t>
      </w:r>
      <w:hyperlink w:anchor="ref-mobley2016">
        <w:r>
          <w:rPr>
            <w:rStyle w:val="Hyperlink"/>
          </w:rPr>
          <w:t xml:space="preserve">2016</w:t>
        </w:r>
      </w:hyperlink>
      <w:r>
        <w:t xml:space="preserve">)</w:t>
      </w:r>
      <w:r>
        <w:t xml:space="preserve">,</w:t>
      </w:r>
      <w:r>
        <w:t xml:space="preserve"> </w:t>
      </w:r>
      <w:r>
        <w:t xml:space="preserve">Pahlevan et al. (</w:t>
      </w:r>
      <w:hyperlink w:anchor="ref-pahlevan2017">
        <w:r>
          <w:rPr>
            <w:rStyle w:val="Hyperlink"/>
          </w:rPr>
          <w:t xml:space="preserve">2017</w:t>
        </w:r>
      </w:hyperlink>
      <w:r>
        <w:t xml:space="preserve">)</w:t>
      </w:r>
      <w:r>
        <w:t xml:space="preserve">, and</w:t>
      </w:r>
      <w:r>
        <w:t xml:space="preserve"> </w:t>
      </w:r>
      <w:r>
        <w:t xml:space="preserve">Pahlevan et al. (</w:t>
      </w:r>
      <w:hyperlink w:anchor="ref-pahlevan2021">
        <w:r>
          <w:rPr>
            <w:rStyle w:val="Hyperlink"/>
          </w:rPr>
          <w:t xml:space="preserve">2021</w:t>
        </w:r>
      </w:hyperlink>
      <w:r>
        <w:t xml:space="preserve">)</w:t>
      </w:r>
      <w:r>
        <w:t xml:space="preserve">.</w:t>
      </w:r>
    </w:p>
    <w:bookmarkEnd w:id="218"/>
    <w:bookmarkStart w:id="219" w:name="assessment-45"/>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9"/>
    <w:bookmarkEnd w:id="220"/>
    <w:bookmarkStart w:id="224" w:name="sec:pral-cosungli"/>
    <w:p>
      <w:pPr>
        <w:pStyle w:val="berschrift4"/>
      </w:pPr>
      <w:r>
        <w:rPr>
          <w:rStyle w:val="VerbatimChar"/>
        </w:rPr>
        <w:t xml:space="preserve">3.8.</w:t>
      </w:r>
      <w:r>
        <w:t xml:space="preserve"> </w:t>
      </w:r>
      <w:r>
        <w:t xml:space="preserve">Sun Glint Correction</w:t>
      </w:r>
    </w:p>
    <w:p>
      <w:pPr>
        <w:pStyle w:val="FirstParagraph"/>
      </w:pPr>
      <w:r>
        <w:t xml:space="preserve">Identifier:</w:t>
      </w:r>
      <w:r>
        <w:t xml:space="preserve"> </w:t>
      </w:r>
      <w:r>
        <w:rPr>
          <w:rStyle w:val="VerbatimChar"/>
        </w:rPr>
        <w:t xml:space="preserve">pral-cosungli</w:t>
      </w:r>
    </w:p>
    <w:bookmarkStart w:id="221" w:name="threshold-requirements-46"/>
    <w:p>
      <w:pPr>
        <w:pStyle w:val="berschrift5"/>
      </w:pPr>
      <w:r>
        <w:t xml:space="preserve">Threshold requirements:</w:t>
      </w:r>
    </w:p>
    <w:p>
      <w:pPr>
        <w:pStyle w:val="FirstParagraph"/>
      </w:pPr>
      <w:r>
        <w:t xml:space="preserve">Not required.</w:t>
      </w:r>
      <w:r>
        <w:t xml:space="preserve"> </w:t>
      </w:r>
    </w:p>
    <w:bookmarkEnd w:id="221"/>
    <w:bookmarkStart w:id="222" w:name="goal-requirements-46"/>
    <w:p>
      <w:pPr>
        <w:pStyle w:val="berschrift5"/>
      </w:pPr>
      <w:r>
        <w:t xml:space="preserve">Goal requirements:</w:t>
      </w:r>
    </w:p>
    <w:p>
      <w:pPr>
        <w:pStyle w:val="FirstParagraph"/>
      </w:pPr>
      <w:r>
        <w:t xml:space="preserve">Sun glint is removed from the data if a pixel is of correctable (i.e., not radiometrically saturating) sun glint.</w:t>
      </w:r>
    </w:p>
    <w:p>
      <w:pPr>
        <w:pStyle w:val="Textkrper"/>
      </w:pPr>
      <w:r>
        <w:t xml:space="preserve">Notes:</w:t>
      </w:r>
    </w:p>
    <w:p>
      <w:pPr>
        <w:pStyle w:val="Compact"/>
        <w:numPr>
          <w:ilvl w:val="0"/>
          <w:numId w:val="1077"/>
        </w:numPr>
      </w:pPr>
      <w:r>
        <w:t xml:space="preserve">Sun glint removal methods can only partially remove sun glint from a pixel. Over or under correction may occur.</w:t>
      </w:r>
    </w:p>
    <w:p>
      <w:pPr>
        <w:pStyle w:val="Compact"/>
        <w:numPr>
          <w:ilvl w:val="0"/>
          <w:numId w:val="1077"/>
        </w:numPr>
      </w:pPr>
      <w:r>
        <w:t xml:space="preserve">See Section </w:t>
      </w:r>
      <w:r>
        <w:t xml:space="preserve">“</w:t>
      </w:r>
      <w:hyperlink w:anchor="sec:pxl-pisungli">
        <w:r>
          <w:rPr>
            <w:rStyle w:val="Hyperlink"/>
          </w:rPr>
          <w:t xml:space="preserve">Per-Pixel Metadata: Sun Glint</w:t>
        </w:r>
      </w:hyperlink>
      <w:r>
        <w:t xml:space="preserve">”</w:t>
      </w:r>
      <w:r>
        <w:t xml:space="preserve">,</w:t>
      </w:r>
      <w:r>
        <w:t xml:space="preserve"> </w:t>
      </w:r>
      <w:r>
        <w:t xml:space="preserve">Botha, Brando, and Dekker (</w:t>
      </w:r>
      <w:hyperlink w:anchor="ref-botha2016">
        <w:r>
          <w:rPr>
            <w:rStyle w:val="Hyperlink"/>
          </w:rPr>
          <w:t xml:space="preserve">2016</w:t>
        </w:r>
      </w:hyperlink>
      <w:r>
        <w:t xml:space="preserve">)</w:t>
      </w:r>
      <w:r>
        <w:t xml:space="preserve">,</w:t>
      </w:r>
      <w:r>
        <w:t xml:space="preserve"> </w:t>
      </w:r>
      <w:r>
        <w:t xml:space="preserve">Groetsch, Foster, and Gilerson (</w:t>
      </w:r>
      <w:hyperlink w:anchor="ref-groetsch2020">
        <w:r>
          <w:rPr>
            <w:rStyle w:val="Hyperlink"/>
          </w:rPr>
          <w:t xml:space="preserve">2020</w:t>
        </w:r>
      </w:hyperlink>
      <w:r>
        <w:t xml:space="preserve">)</w:t>
      </w:r>
      <w:r>
        <w:t xml:space="preserve">,</w:t>
      </w:r>
      <w:r>
        <w:t xml:space="preserve"> </w:t>
      </w:r>
      <w:r>
        <w:t xml:space="preserve">Harmel et al. (</w:t>
      </w:r>
      <w:hyperlink w:anchor="ref-harmel2018">
        <w:r>
          <w:rPr>
            <w:rStyle w:val="Hyperlink"/>
          </w:rPr>
          <w:t xml:space="preserve">2018</w:t>
        </w:r>
      </w:hyperlink>
      <w:r>
        <w:t xml:space="preserve">)</w:t>
      </w:r>
      <w:r>
        <w:t xml:space="preserve">,</w:t>
      </w:r>
      <w:r>
        <w:t xml:space="preserve"> </w:t>
      </w:r>
      <w:r>
        <w:t xml:space="preserve">Kay, Hedley, and Lavender (</w:t>
      </w:r>
      <w:hyperlink w:anchor="ref-kay2009">
        <w:r>
          <w:rPr>
            <w:rStyle w:val="Hyperlink"/>
          </w:rPr>
          <w:t xml:space="preserve">2009</w:t>
        </w:r>
      </w:hyperlink>
      <w:r>
        <w:t xml:space="preserve">)</w:t>
      </w:r>
      <w:r>
        <w:t xml:space="preserve">,</w:t>
      </w:r>
      <w:r>
        <w:t xml:space="preserve"> </w:t>
      </w:r>
      <w:r>
        <w:t xml:space="preserve">Kutser, Vahtmäe, and Praks (</w:t>
      </w:r>
      <w:hyperlink w:anchor="ref-kutser2009">
        <w:r>
          <w:rPr>
            <w:rStyle w:val="Hyperlink"/>
          </w:rPr>
          <w:t xml:space="preserve">2009</w:t>
        </w:r>
      </w:hyperlink>
      <w:r>
        <w:t xml:space="preserve">)</w:t>
      </w:r>
      <w:r>
        <w:t xml:space="preserve">, and</w:t>
      </w:r>
      <w:r>
        <w:t xml:space="preserve"> </w:t>
      </w:r>
      <w:r>
        <w:t xml:space="preserve">Lavender and Kay (</w:t>
      </w:r>
      <w:hyperlink w:anchor="ref-lavender2010glint">
        <w:r>
          <w:rPr>
            <w:rStyle w:val="Hyperlink"/>
          </w:rPr>
          <w:t xml:space="preserve">2010</w:t>
        </w:r>
      </w:hyperlink>
      <w:r>
        <w:t xml:space="preserve">)</w:t>
      </w:r>
      <w:r>
        <w:t xml:space="preserve">.</w:t>
      </w:r>
    </w:p>
    <w:bookmarkEnd w:id="222"/>
    <w:bookmarkStart w:id="223" w:name="assessment-46"/>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23"/>
    <w:bookmarkEnd w:id="224"/>
    <w:bookmarkStart w:id="228" w:name="sec:pral-coskygli"/>
    <w:p>
      <w:pPr>
        <w:pStyle w:val="berschrift4"/>
      </w:pPr>
      <w:r>
        <w:rPr>
          <w:rStyle w:val="VerbatimChar"/>
        </w:rPr>
        <w:t xml:space="preserve">3.9.</w:t>
      </w:r>
      <w:r>
        <w:t xml:space="preserve"> </w:t>
      </w:r>
      <w:r>
        <w:t xml:space="preserve">Sky Glint Correction</w:t>
      </w:r>
    </w:p>
    <w:p>
      <w:pPr>
        <w:pStyle w:val="FirstParagraph"/>
      </w:pPr>
      <w:r>
        <w:t xml:space="preserve">Identifier:</w:t>
      </w:r>
      <w:r>
        <w:t xml:space="preserve"> </w:t>
      </w:r>
      <w:r>
        <w:rPr>
          <w:rStyle w:val="VerbatimChar"/>
        </w:rPr>
        <w:t xml:space="preserve">pral-coskygli</w:t>
      </w:r>
    </w:p>
    <w:bookmarkStart w:id="225" w:name="threshold-requirements-47"/>
    <w:p>
      <w:pPr>
        <w:pStyle w:val="berschrift5"/>
      </w:pPr>
      <w:r>
        <w:t xml:space="preserve">Threshold requirements:</w:t>
      </w:r>
    </w:p>
    <w:p>
      <w:pPr>
        <w:pStyle w:val="FirstParagraph"/>
      </w:pPr>
      <w:r>
        <w:t xml:space="preserve">Specification of whether or not sky glint is implicitly corrected for in the atmospheric correction procedure</w:t>
      </w:r>
    </w:p>
    <w:p>
      <w:pPr>
        <w:pStyle w:val="Textkrper"/>
      </w:pPr>
      <w:r>
        <w:t xml:space="preserve">Notes:</w:t>
      </w:r>
    </w:p>
    <w:p>
      <w:pPr>
        <w:pStyle w:val="Compact"/>
        <w:numPr>
          <w:ilvl w:val="0"/>
          <w:numId w:val="1079"/>
        </w:numPr>
      </w:pPr>
      <w:r>
        <w:t xml:space="preserve">Sky glint is often modelled in forward models explicitly. It is also often measured with above surface spectroradiometers. However, sky glint is seldom corrected for separately in atmospheric and air-water interface correction methods.</w:t>
      </w:r>
    </w:p>
    <w:p>
      <w:pPr>
        <w:pStyle w:val="Compact"/>
        <w:numPr>
          <w:ilvl w:val="0"/>
          <w:numId w:val="1079"/>
        </w:numPr>
      </w:pPr>
      <w:r>
        <w:t xml:space="preserve">See Section </w:t>
      </w:r>
      <w:r>
        <w:t xml:space="preserve">“</w:t>
      </w:r>
      <w:hyperlink w:anchor="sec:pxl-piskygli">
        <w:r>
          <w:rPr>
            <w:rStyle w:val="Hyperlink"/>
          </w:rPr>
          <w:t xml:space="preserve">Per-Pixel Metadata: Sky Glint</w:t>
        </w:r>
      </w:hyperlink>
      <w:r>
        <w:t xml:space="preserve">”</w:t>
      </w:r>
      <w:r>
        <w:t xml:space="preserve">,</w:t>
      </w:r>
      <w:r>
        <w:t xml:space="preserve"> </w:t>
      </w:r>
      <w:r>
        <w:t xml:space="preserve">Gege and Groetsch (</w:t>
      </w:r>
      <w:hyperlink w:anchor="ref-gege2016">
        <w:r>
          <w:rPr>
            <w:rStyle w:val="Hyperlink"/>
          </w:rPr>
          <w:t xml:space="preserve">2016</w:t>
        </w:r>
      </w:hyperlink>
      <w:r>
        <w:t xml:space="preserve">)</w:t>
      </w:r>
      <w:r>
        <w:t xml:space="preserve">,</w:t>
      </w:r>
      <w:r>
        <w:t xml:space="preserve"> </w:t>
      </w:r>
      <w:r>
        <w:t xml:space="preserve">Groetsch, Foster, and Gilerson (</w:t>
      </w:r>
      <w:hyperlink w:anchor="ref-groetsch2020">
        <w:r>
          <w:rPr>
            <w:rStyle w:val="Hyperlink"/>
          </w:rPr>
          <w:t xml:space="preserve">2020</w:t>
        </w:r>
      </w:hyperlink>
      <w:r>
        <w:t xml:space="preserve">)</w:t>
      </w:r>
      <w:r>
        <w:t xml:space="preserve">, and</w:t>
      </w:r>
      <w:r>
        <w:t xml:space="preserve"> </w:t>
      </w:r>
      <w:r>
        <w:t xml:space="preserve">Zhang et al. (</w:t>
      </w:r>
      <w:hyperlink w:anchor="ref-zhang2017">
        <w:r>
          <w:rPr>
            <w:rStyle w:val="Hyperlink"/>
          </w:rPr>
          <w:t xml:space="preserve">2017</w:t>
        </w:r>
      </w:hyperlink>
      <w:r>
        <w:t xml:space="preserve">)</w:t>
      </w:r>
      <w:r>
        <w:t xml:space="preserve">.</w:t>
      </w:r>
    </w:p>
    <w:bookmarkEnd w:id="225"/>
    <w:bookmarkStart w:id="226" w:name="goal-requirements-47"/>
    <w:p>
      <w:pPr>
        <w:pStyle w:val="berschrift5"/>
      </w:pPr>
      <w:r>
        <w:t xml:space="preserve">Goal requirements:</w:t>
      </w:r>
    </w:p>
    <w:p>
      <w:pPr>
        <w:pStyle w:val="FirstParagraph"/>
      </w:pPr>
      <w:r>
        <w:t xml:space="preserve">Sky glint is separately assessed and corrected for in the data processing. The metadata indicates the surface contributions from sky glint removed from the data.</w:t>
      </w:r>
    </w:p>
    <w:bookmarkEnd w:id="226"/>
    <w:bookmarkStart w:id="227" w:name="assessment-47"/>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7"/>
    <w:bookmarkEnd w:id="228"/>
    <w:bookmarkStart w:id="232" w:name="sec:pral-cowhifo"/>
    <w:p>
      <w:pPr>
        <w:pStyle w:val="berschrift4"/>
      </w:pPr>
      <w:r>
        <w:rPr>
          <w:rStyle w:val="VerbatimChar"/>
        </w:rPr>
        <w:t xml:space="preserve">3.10.</w:t>
      </w:r>
      <w:r>
        <w:t xml:space="preserve"> </w:t>
      </w:r>
      <w:r>
        <w:t xml:space="preserve">Whitecap / Foam Correction</w:t>
      </w:r>
    </w:p>
    <w:p>
      <w:pPr>
        <w:pStyle w:val="FirstParagraph"/>
      </w:pPr>
      <w:r>
        <w:t xml:space="preserve">Identifier:</w:t>
      </w:r>
      <w:r>
        <w:t xml:space="preserve"> </w:t>
      </w:r>
      <w:r>
        <w:rPr>
          <w:rStyle w:val="VerbatimChar"/>
        </w:rPr>
        <w:t xml:space="preserve">pral-cowhifo</w:t>
      </w:r>
    </w:p>
    <w:bookmarkStart w:id="229" w:name="threshold-requirements-48"/>
    <w:p>
      <w:pPr>
        <w:pStyle w:val="berschrift5"/>
      </w:pPr>
      <w:r>
        <w:t xml:space="preserve">Threshold requirements:</w:t>
      </w:r>
    </w:p>
    <w:p>
      <w:pPr>
        <w:pStyle w:val="FirstParagraph"/>
      </w:pPr>
      <w:r>
        <w:t xml:space="preserve">Specification of whether the water leaving reflectance or radiance is corrected for the contribution from surface whitecaps and foam.</w:t>
      </w:r>
    </w:p>
    <w:p>
      <w:pPr>
        <w:pStyle w:val="Textkrper"/>
      </w:pPr>
      <w:r>
        <w:t xml:space="preserve">Note:</w:t>
      </w:r>
    </w:p>
    <w:p>
      <w:pPr>
        <w:pStyle w:val="Compact"/>
        <w:numPr>
          <w:ilvl w:val="0"/>
          <w:numId w:val="1081"/>
        </w:numPr>
      </w:pPr>
      <w:r>
        <w:t xml:space="preserve">See</w:t>
      </w:r>
      <w:r>
        <w:t xml:space="preserve"> </w:t>
      </w:r>
      <w:r>
        <w:t xml:space="preserve">Dierssen (</w:t>
      </w:r>
      <w:hyperlink w:anchor="ref-dierssen2019">
        <w:r>
          <w:rPr>
            <w:rStyle w:val="Hyperlink"/>
          </w:rPr>
          <w:t xml:space="preserve">2019</w:t>
        </w:r>
      </w:hyperlink>
      <w:r>
        <w:t xml:space="preserve">)</w:t>
      </w:r>
      <w:r>
        <w:t xml:space="preserve">,</w:t>
      </w:r>
      <w:r>
        <w:t xml:space="preserve"> </w:t>
      </w:r>
      <w:r>
        <w:t xml:space="preserve">Dierssen (</w:t>
      </w:r>
      <w:hyperlink w:anchor="ref-dierssen2021">
        <w:r>
          <w:rPr>
            <w:rStyle w:val="Hyperlink"/>
          </w:rPr>
          <w:t xml:space="preserve">2021</w:t>
        </w:r>
      </w:hyperlink>
      <w:r>
        <w:t xml:space="preserve">)</w:t>
      </w:r>
      <w:r>
        <w:t xml:space="preserve">,</w:t>
      </w:r>
      <w:r>
        <w:t xml:space="preserve"> </w:t>
      </w:r>
      <w:r>
        <w:t xml:space="preserve">Frouin et al. (</w:t>
      </w:r>
      <w:hyperlink w:anchor="ref-frouin2019">
        <w:r>
          <w:rPr>
            <w:rStyle w:val="Hyperlink"/>
          </w:rPr>
          <w:t xml:space="preserve">2019</w:t>
        </w:r>
      </w:hyperlink>
      <w:r>
        <w:t xml:space="preserve">)</w:t>
      </w:r>
      <w:r>
        <w:t xml:space="preserve">,</w:t>
      </w:r>
      <w:r>
        <w:t xml:space="preserve"> </w:t>
      </w:r>
      <w:r>
        <w:t xml:space="preserve">Koepke (</w:t>
      </w:r>
      <w:hyperlink w:anchor="ref-koepke1984">
        <w:r>
          <w:rPr>
            <w:rStyle w:val="Hyperlink"/>
          </w:rPr>
          <w:t xml:space="preserve">1984</w:t>
        </w:r>
      </w:hyperlink>
      <w:r>
        <w:t xml:space="preserve">)</w:t>
      </w:r>
      <w:r>
        <w:t xml:space="preserve">,</w:t>
      </w:r>
      <w:r>
        <w:t xml:space="preserve"> </w:t>
      </w:r>
      <w:r>
        <w:t xml:space="preserve">K. D. Moore, Voss, and Gordon (</w:t>
      </w:r>
      <w:hyperlink w:anchor="ref-moore2000">
        <w:r>
          <w:rPr>
            <w:rStyle w:val="Hyperlink"/>
          </w:rPr>
          <w:t xml:space="preserve">2000</w:t>
        </w:r>
      </w:hyperlink>
      <w:r>
        <w:t xml:space="preserve">)</w:t>
      </w:r>
      <w:r>
        <w:t xml:space="preserve">,</w:t>
      </w:r>
      <w:r>
        <w:t xml:space="preserve"> </w:t>
      </w:r>
      <w:r>
        <w:t xml:space="preserve">Wang et al. (</w:t>
      </w:r>
      <w:hyperlink w:anchor="ref-wang2017">
        <w:r>
          <w:rPr>
            <w:rStyle w:val="Hyperlink"/>
          </w:rPr>
          <w:t xml:space="preserve">2017</w:t>
        </w:r>
      </w:hyperlink>
      <w:r>
        <w:t xml:space="preserve">)</w:t>
      </w:r>
      <w:r>
        <w:t xml:space="preserve">,</w:t>
      </w:r>
      <w:r>
        <w:t xml:space="preserve"> </w:t>
      </w:r>
      <w:r>
        <w:t xml:space="preserve">EUMETSAT (</w:t>
      </w:r>
      <w:hyperlink w:anchor="ref-eumetsat2021">
        <w:r>
          <w:rPr>
            <w:rStyle w:val="Hyperlink"/>
          </w:rPr>
          <w:t xml:space="preserve">2021</w:t>
        </w:r>
      </w:hyperlink>
      <w:r>
        <w:t xml:space="preserve">)</w:t>
      </w:r>
      <w:r>
        <w:t xml:space="preserve">, and</w:t>
      </w:r>
      <w:r>
        <w:t xml:space="preserve"> </w:t>
      </w:r>
      <w:r>
        <w:t xml:space="preserve">Lavender (</w:t>
      </w:r>
      <w:hyperlink w:anchor="ref-lavender2010whitecaps">
        <w:r>
          <w:rPr>
            <w:rStyle w:val="Hyperlink"/>
          </w:rPr>
          <w:t xml:space="preserve">2010</w:t>
        </w:r>
      </w:hyperlink>
      <w:r>
        <w:t xml:space="preserve">)</w:t>
      </w:r>
      <w:r>
        <w:t xml:space="preserve">.</w:t>
      </w:r>
    </w:p>
    <w:bookmarkEnd w:id="229"/>
    <w:bookmarkStart w:id="230" w:name="goal-requirements-48"/>
    <w:p>
      <w:pPr>
        <w:pStyle w:val="berschrift5"/>
      </w:pPr>
      <w:r>
        <w:t xml:space="preserve">Goal requirements:</w:t>
      </w:r>
    </w:p>
    <w:p>
      <w:pPr>
        <w:pStyle w:val="FirstParagraph"/>
      </w:pPr>
      <w:r>
        <w:t xml:space="preserve">The data are corrected for the contribution from surface whitecaps and foam and reported on a per-pixel basis.</w:t>
      </w:r>
    </w:p>
    <w:p>
      <w:pPr>
        <w:pStyle w:val="Textkrper"/>
      </w:pPr>
      <w:r>
        <w:t xml:space="preserve">Note:</w:t>
      </w:r>
    </w:p>
    <w:p>
      <w:pPr>
        <w:pStyle w:val="Compact"/>
        <w:numPr>
          <w:ilvl w:val="0"/>
          <w:numId w:val="1082"/>
        </w:numPr>
      </w:pPr>
      <w:r>
        <w:t xml:space="preserve">See Section </w:t>
      </w:r>
      <w:r>
        <w:t xml:space="preserve">“</w:t>
      </w:r>
      <w:hyperlink w:anchor="sec:pxl-piwhifo">
        <w:r>
          <w:rPr>
            <w:rStyle w:val="Hyperlink"/>
          </w:rPr>
          <w:t xml:space="preserve">Per-Pixel Metadata: Whitecap / Foam</w:t>
        </w:r>
      </w:hyperlink>
      <w:r>
        <w:t xml:space="preserve">”</w:t>
      </w:r>
      <w:r>
        <w:t xml:space="preserve">.</w:t>
      </w:r>
    </w:p>
    <w:bookmarkEnd w:id="230"/>
    <w:bookmarkStart w:id="231" w:name="assessment-48"/>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Goal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231"/>
    <w:bookmarkEnd w:id="232"/>
    <w:bookmarkStart w:id="236" w:name="sec:pral-cajdeff"/>
    <w:p>
      <w:pPr>
        <w:pStyle w:val="berschrift4"/>
      </w:pPr>
      <w:r>
        <w:rPr>
          <w:rStyle w:val="VerbatimChar"/>
        </w:rPr>
        <w:t xml:space="preserve">3.11.</w:t>
      </w:r>
      <w:r>
        <w:t xml:space="preserve"> </w:t>
      </w:r>
      <w:r>
        <w:t xml:space="preserve">Adjacency Effects Correction</w:t>
      </w:r>
    </w:p>
    <w:p>
      <w:pPr>
        <w:pStyle w:val="FirstParagraph"/>
      </w:pPr>
      <w:r>
        <w:t xml:space="preserve">Identifier:</w:t>
      </w:r>
      <w:r>
        <w:t xml:space="preserve"> </w:t>
      </w:r>
      <w:r>
        <w:rPr>
          <w:rStyle w:val="VerbatimChar"/>
        </w:rPr>
        <w:t xml:space="preserve">pral-cajdeff</w:t>
      </w:r>
    </w:p>
    <w:bookmarkStart w:id="233" w:name="threshold-requirements-49"/>
    <w:p>
      <w:pPr>
        <w:pStyle w:val="berschrift5"/>
      </w:pPr>
      <w:r>
        <w:t xml:space="preserve">Threshold requirements:</w:t>
      </w:r>
    </w:p>
    <w:p>
      <w:pPr>
        <w:pStyle w:val="FirstParagraph"/>
      </w:pPr>
      <w:r>
        <w:t xml:space="preserve">Not required.</w:t>
      </w:r>
      <w:r>
        <w:t xml:space="preserve"> </w:t>
      </w:r>
    </w:p>
    <w:bookmarkEnd w:id="233"/>
    <w:bookmarkStart w:id="234" w:name="goal-requirements-49"/>
    <w:p>
      <w:pPr>
        <w:pStyle w:val="berschrift5"/>
      </w:pPr>
      <w:r>
        <w:t xml:space="preserve">Goal requirements:</w:t>
      </w:r>
    </w:p>
    <w:p>
      <w:pPr>
        <w:pStyle w:val="FirstParagraph"/>
      </w:pPr>
      <w:r>
        <w:t xml:space="preserve">The data are corrected for adjacency effects.</w:t>
      </w:r>
    </w:p>
    <w:p>
      <w:pPr>
        <w:pStyle w:val="Textkrper"/>
      </w:pPr>
      <w:r>
        <w:t xml:space="preserve">Note:</w:t>
      </w:r>
    </w:p>
    <w:p>
      <w:pPr>
        <w:pStyle w:val="Compact"/>
        <w:numPr>
          <w:ilvl w:val="0"/>
          <w:numId w:val="1084"/>
        </w:numPr>
      </w:pPr>
      <w:r>
        <w:t xml:space="preserve">See</w:t>
      </w:r>
      <w:r>
        <w:t xml:space="preserve"> </w:t>
      </w:r>
      <w:r>
        <w:t xml:space="preserve">Castagna and Vanhellemont (</w:t>
      </w:r>
      <w:hyperlink w:anchor="ref-castagna2025">
        <w:r>
          <w:rPr>
            <w:rStyle w:val="Hyperlink"/>
          </w:rPr>
          <w:t xml:space="preserve">2025</w:t>
        </w:r>
      </w:hyperlink>
      <w:r>
        <w:t xml:space="preserve">)</w:t>
      </w:r>
      <w:r>
        <w:t xml:space="preserve">,</w:t>
      </w:r>
      <w:r>
        <w:t xml:space="preserve"> </w:t>
      </w:r>
      <w:r>
        <w:t xml:space="preserve">Kiselev, Bulgarelli, and Heege (</w:t>
      </w:r>
      <w:hyperlink w:anchor="ref-kiselev2015">
        <w:r>
          <w:rPr>
            <w:rStyle w:val="Hyperlink"/>
          </w:rPr>
          <w:t xml:space="preserve">2015</w:t>
        </w:r>
      </w:hyperlink>
      <w:r>
        <w:t xml:space="preserve">)</w:t>
      </w:r>
      <w:r>
        <w:t xml:space="preserve">,</w:t>
      </w:r>
      <w:r>
        <w:t xml:space="preserve"> </w:t>
      </w:r>
      <w:r>
        <w:t xml:space="preserve">Pan and Bélanger (</w:t>
      </w:r>
      <w:hyperlink w:anchor="ref-pan2025">
        <w:r>
          <w:rPr>
            <w:rStyle w:val="Hyperlink"/>
          </w:rPr>
          <w:t xml:space="preserve">2025</w:t>
        </w:r>
      </w:hyperlink>
      <w:r>
        <w:t xml:space="preserve">)</w:t>
      </w:r>
      <w:r>
        <w:t xml:space="preserve">,</w:t>
      </w:r>
      <w:r>
        <w:t xml:space="preserve"> </w:t>
      </w:r>
      <w:r>
        <w:t xml:space="preserve">Sterckx et al. (</w:t>
      </w:r>
      <w:hyperlink w:anchor="ref-sterckx2015">
        <w:r>
          <w:rPr>
            <w:rStyle w:val="Hyperlink"/>
          </w:rPr>
          <w:t xml:space="preserve">2015</w:t>
        </w:r>
      </w:hyperlink>
      <w:r>
        <w:t xml:space="preserve">)</w:t>
      </w:r>
      <w:r>
        <w:t xml:space="preserve">, and</w:t>
      </w:r>
      <w:r>
        <w:t xml:space="preserve"> </w:t>
      </w:r>
      <w:r>
        <w:t xml:space="preserve">Wu et al. (</w:t>
      </w:r>
      <w:hyperlink w:anchor="ref-wu2024">
        <w:r>
          <w:rPr>
            <w:rStyle w:val="Hyperlink"/>
          </w:rPr>
          <w:t xml:space="preserve">2024</w:t>
        </w:r>
      </w:hyperlink>
      <w:r>
        <w:t xml:space="preserve">)</w:t>
      </w:r>
      <w:r>
        <w:t xml:space="preserve">.</w:t>
      </w:r>
    </w:p>
    <w:bookmarkEnd w:id="234"/>
    <w:bookmarkStart w:id="235" w:name="assessment-49"/>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35"/>
    <w:bookmarkEnd w:id="236"/>
    <w:bookmarkStart w:id="240" w:name="sec:pral-cotuwa"/>
    <w:p>
      <w:pPr>
        <w:pStyle w:val="berschrift4"/>
      </w:pPr>
      <w:r>
        <w:rPr>
          <w:rStyle w:val="VerbatimChar"/>
        </w:rPr>
        <w:t xml:space="preserve">3.12.</w:t>
      </w:r>
      <w:r>
        <w:t xml:space="preserve"> </w:t>
      </w:r>
      <w:r>
        <w:t xml:space="preserve">Turbid Water Reflectance Correction</w:t>
      </w:r>
    </w:p>
    <w:p>
      <w:pPr>
        <w:pStyle w:val="FirstParagraph"/>
      </w:pPr>
      <w:r>
        <w:t xml:space="preserve">Identifier:</w:t>
      </w:r>
      <w:r>
        <w:t xml:space="preserve"> </w:t>
      </w:r>
      <w:r>
        <w:rPr>
          <w:rStyle w:val="VerbatimChar"/>
        </w:rPr>
        <w:t xml:space="preserve">pral-cotuwa</w:t>
      </w:r>
    </w:p>
    <w:bookmarkStart w:id="237" w:name="threshold-requirements-50"/>
    <w:p>
      <w:pPr>
        <w:pStyle w:val="berschrift5"/>
      </w:pPr>
      <w:r>
        <w:t xml:space="preserve">Threshold requirements:</w:t>
      </w:r>
    </w:p>
    <w:p>
      <w:pPr>
        <w:pStyle w:val="FirstParagraph"/>
      </w:pPr>
      <w:r>
        <w:t xml:space="preserve">Specification of whether the atmospheric correction accounted for a pixel being turbid or not.</w:t>
      </w:r>
    </w:p>
    <w:p>
      <w:pPr>
        <w:pStyle w:val="Textkrper"/>
      </w:pPr>
      <w:r>
        <w:t xml:space="preserve">Note:</w:t>
      </w:r>
    </w:p>
    <w:p>
      <w:pPr>
        <w:pStyle w:val="Compact"/>
        <w:numPr>
          <w:ilvl w:val="0"/>
          <w:numId w:val="1086"/>
        </w:numPr>
      </w:pPr>
      <w:r>
        <w:t xml:space="preserve">See</w:t>
      </w:r>
      <w:r>
        <w:t xml:space="preserve"> </w:t>
      </w:r>
      <w:r>
        <w:t xml:space="preserve">Gossn, Ruddick, and Dogliotti (</w:t>
      </w:r>
      <w:hyperlink w:anchor="ref-gossn2019">
        <w:r>
          <w:rPr>
            <w:rStyle w:val="Hyperlink"/>
          </w:rPr>
          <w:t xml:space="preserve">2019</w:t>
        </w:r>
      </w:hyperlink>
      <w:r>
        <w:t xml:space="preserve">)</w:t>
      </w:r>
      <w:r>
        <w:t xml:space="preserve">,</w:t>
      </w:r>
      <w:r>
        <w:t xml:space="preserve"> </w:t>
      </w:r>
      <w:r>
        <w:t xml:space="preserve">G. F. Moore, Aiken, and Lavender (</w:t>
      </w:r>
      <w:hyperlink w:anchor="ref-moore1999">
        <w:r>
          <w:rPr>
            <w:rStyle w:val="Hyperlink"/>
          </w:rPr>
          <w:t xml:space="preserve">1999</w:t>
        </w:r>
      </w:hyperlink>
      <w:r>
        <w:t xml:space="preserve">)</w:t>
      </w:r>
      <w:r>
        <w:t xml:space="preserve">, and</w:t>
      </w:r>
      <w:r>
        <w:t xml:space="preserve"> </w:t>
      </w:r>
      <w:r>
        <w:t xml:space="preserve">Stumpf et al. (</w:t>
      </w:r>
      <w:hyperlink w:anchor="ref-stumpf2003">
        <w:r>
          <w:rPr>
            <w:rStyle w:val="Hyperlink"/>
          </w:rPr>
          <w:t xml:space="preserve">2003</w:t>
        </w:r>
      </w:hyperlink>
      <w:r>
        <w:t xml:space="preserve">)</w:t>
      </w:r>
      <w:r>
        <w:t xml:space="preserve">.</w:t>
      </w:r>
    </w:p>
    <w:bookmarkEnd w:id="237"/>
    <w:bookmarkStart w:id="238" w:name="goal-requirements-50"/>
    <w:p>
      <w:pPr>
        <w:pStyle w:val="berschrift5"/>
      </w:pPr>
      <w:r>
        <w:t xml:space="preserve">Goal requirements:</w:t>
      </w:r>
    </w:p>
    <w:p>
      <w:pPr>
        <w:pStyle w:val="FirstParagraph"/>
      </w:pPr>
      <w:r>
        <w:t xml:space="preserve">As threshold.</w:t>
      </w:r>
      <w:r>
        <w:t xml:space="preserve"> </w:t>
      </w:r>
    </w:p>
    <w:bookmarkEnd w:id="238"/>
    <w:bookmarkStart w:id="239" w:name="assessment-50"/>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bookmarkEnd w:id="239"/>
    <w:bookmarkEnd w:id="240"/>
    <w:bookmarkEnd w:id="241"/>
    <w:bookmarkStart w:id="250" w:name="sec:gcom"/>
    <w:p>
      <w:pPr>
        <w:pStyle w:val="berschrift3"/>
      </w:pPr>
      <w:r>
        <w:rPr>
          <w:rStyle w:val="VerbatimChar"/>
        </w:rPr>
        <w:t xml:space="preserve">4.</w:t>
      </w:r>
      <w:r>
        <w:t xml:space="preserve"> </w:t>
      </w:r>
      <w:r>
        <w:t xml:space="preserve">Geometric Corrections Metadata (Co-Registration and Ortho-Rectification)</w:t>
      </w:r>
    </w:p>
    <w:p>
      <w:pPr>
        <w:pStyle w:val="FirstParagraph"/>
      </w:pPr>
      <w:r>
        <w:t xml:space="preserve">Geometric corrections must place the measurement accurately on the surface of the Earth (that is, geolocate the measurement) allowing measurements taken through time to be compared. Ocean and coastal imagery do not have an independent terrestrial referencing system and therefore Section </w:t>
      </w:r>
      <w:r>
        <w:t xml:space="preserve">“</w:t>
      </w:r>
      <w:hyperlink w:anchor="sec:gcom-corore">
        <w:r>
          <w:rPr>
            <w:rStyle w:val="Hyperlink"/>
          </w:rPr>
          <w:t xml:space="preserve">Geometric Corrections Metadata (Co-Registration and Ortho-Rectification): Co-Registration and Ortho-Rectification</w:t>
        </w:r>
      </w:hyperlink>
      <w:r>
        <w:t xml:space="preserve">”</w:t>
      </w:r>
      <w:r>
        <w:t xml:space="preserve"> </w:t>
      </w:r>
      <w:r>
        <w:t xml:space="preserve">applies to that imagery.</w:t>
      </w:r>
    </w:p>
    <w:bookmarkStart w:id="245" w:name="sec:gcom-geocorr-ar"/>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gcom-geocorr-ar</w:t>
      </w:r>
    </w:p>
    <w:p>
      <w:pPr>
        <w:pStyle w:val="Textkrper"/>
      </w:pPr>
      <w:r>
        <w:t xml:space="preserve">Applies for:</w:t>
      </w:r>
    </w:p>
    <w:p>
      <w:pPr>
        <w:pStyle w:val="Compact"/>
        <w:numPr>
          <w:ilvl w:val="0"/>
          <w:numId w:val="1088"/>
        </w:numPr>
      </w:pPr>
      <w:r>
        <w:t xml:space="preserve">land</w:t>
      </w:r>
    </w:p>
    <w:p>
      <w:pPr>
        <w:pStyle w:val="Compact"/>
        <w:numPr>
          <w:ilvl w:val="0"/>
          <w:numId w:val="1088"/>
        </w:numPr>
      </w:pPr>
      <w:r>
        <w:t xml:space="preserve">inland waters where an independent terrestrial referencing system is available</w:t>
      </w:r>
    </w:p>
    <w:bookmarkStart w:id="242" w:name="threshold-requirements-51"/>
    <w:p>
      <w:pPr>
        <w:pStyle w:val="berschrift5"/>
      </w:pPr>
      <w:r>
        <w:t xml:space="preserve">Threshold requirements:</w:t>
      </w:r>
    </w:p>
    <w:p>
      <w:pPr>
        <w:pStyle w:val="FirstParagraph"/>
      </w:pPr>
      <w:r>
        <w:t xml:space="preserve">Sub-pixel uncertainty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uncertainty is taken to be less than or equal to 0.5-pixel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Section </w:t>
      </w:r>
      <w:r>
        <w:t xml:space="preserve">“</w:t>
      </w:r>
      <w:hyperlink w:anchor="sec:meta-geounc">
        <w:r>
          <w:rPr>
            <w:rStyle w:val="Hyperlink"/>
          </w:rPr>
          <w:t xml:space="preserve">General Metadata: Geometric Uncertainty of the Data</w:t>
        </w:r>
      </w:hyperlink>
      <w:r>
        <w:t xml:space="preserve">”</w:t>
      </w:r>
      <w:r>
        <w:t xml:space="preserve"> </w:t>
      </w:r>
      <w:r>
        <w:t xml:space="preserve">and Section </w:t>
      </w:r>
      <w:r>
        <w:t xml:space="preserve">“</w:t>
      </w:r>
      <w:hyperlink w:anchor="sec:meta-instru-ar">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89"/>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p>
      <w:pPr>
        <w:pStyle w:val="Compact"/>
        <w:numPr>
          <w:ilvl w:val="0"/>
          <w:numId w:val="1089"/>
        </w:numPr>
      </w:pPr>
      <w:r>
        <w:t xml:space="preserve">It is useful to note if the sensor is used at its native resolution before geometric correction or that some resampling must be done.</w:t>
      </w:r>
    </w:p>
    <w:bookmarkEnd w:id="242"/>
    <w:bookmarkStart w:id="243" w:name="goal-requirements-51"/>
    <w:p>
      <w:pPr>
        <w:pStyle w:val="berschrift5"/>
      </w:pPr>
      <w:r>
        <w:t xml:space="preserve">Goal requirements:</w:t>
      </w:r>
    </w:p>
    <w:p>
      <w:pPr>
        <w:pStyle w:val="FirstParagraph"/>
      </w:pPr>
      <w:r>
        <w:t xml:space="preserve">Sub-pixel uncertainty is achieved relative to an identified absolute independent terrestrial referencing system (such as a national map grid).</w:t>
      </w:r>
    </w:p>
    <w:p>
      <w:pPr>
        <w:pStyle w:val="Textkrper"/>
      </w:pPr>
      <w:r>
        <w:t xml:space="preserve">Relevant metadata must be provided under Section </w:t>
      </w:r>
      <w:r>
        <w:t xml:space="preserve">“</w:t>
      </w:r>
      <w:hyperlink w:anchor="sec:meta-geounc">
        <w:r>
          <w:rPr>
            <w:rStyle w:val="Hyperlink"/>
          </w:rPr>
          <w:t xml:space="preserve">General Metadata: Geometric Uncertainty of the Data</w:t>
        </w:r>
      </w:hyperlink>
      <w:r>
        <w:t xml:space="preserve">”</w:t>
      </w:r>
      <w:r>
        <w:t xml:space="preserve"> </w:t>
      </w:r>
      <w:r>
        <w:t xml:space="preserve">and Section </w:t>
      </w:r>
      <w:r>
        <w:t xml:space="preserve">“</w:t>
      </w:r>
      <w:hyperlink w:anchor="sec:meta-instru-ar">
        <w:r>
          <w:rPr>
            <w:rStyle w:val="Hyperlink"/>
          </w:rPr>
          <w:t xml:space="preserve">General Metadata: Instrument</w:t>
        </w:r>
      </w:hyperlink>
      <w:r>
        <w:t xml:space="preserve">”</w:t>
      </w:r>
      <w:r>
        <w:t xml:space="preserve">.</w:t>
      </w:r>
    </w:p>
    <w:p>
      <w:pPr>
        <w:pStyle w:val="Textkrper"/>
      </w:pPr>
      <w:r>
        <w:t xml:space="preserve">Note:</w:t>
      </w:r>
    </w:p>
    <w:p>
      <w:pPr>
        <w:pStyle w:val="Compact"/>
        <w:numPr>
          <w:ilvl w:val="0"/>
          <w:numId w:val="1090"/>
        </w:numPr>
      </w:pPr>
      <w:r>
        <w:t xml:space="preserve">This requirement is intended to enable interoperability between imagery from different platforms that meet this level of correction and with non-image spatial data such as GIS layers and terrain models.</w:t>
      </w:r>
    </w:p>
    <w:bookmarkEnd w:id="243"/>
    <w:bookmarkStart w:id="244" w:name="assessment-51"/>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4"/>
    <w:bookmarkEnd w:id="245"/>
    <w:bookmarkStart w:id="249" w:name="sec:gcom-corore"/>
    <w:p>
      <w:pPr>
        <w:pStyle w:val="berschrift4"/>
      </w:pPr>
      <w:r>
        <w:rPr>
          <w:rStyle w:val="VerbatimChar"/>
        </w:rPr>
        <w:t xml:space="preserve">4.2.</w:t>
      </w:r>
      <w:r>
        <w:t xml:space="preserve"> </w:t>
      </w:r>
      <w:r>
        <w:t xml:space="preserve">Co-Registration and Ortho-Rectification</w:t>
      </w:r>
    </w:p>
    <w:p>
      <w:pPr>
        <w:pStyle w:val="FirstParagraph"/>
      </w:pPr>
      <w:r>
        <w:t xml:space="preserve">Identifier:</w:t>
      </w:r>
      <w:r>
        <w:t xml:space="preserve"> </w:t>
      </w:r>
      <w:r>
        <w:rPr>
          <w:rStyle w:val="VerbatimChar"/>
        </w:rPr>
        <w:t xml:space="preserve">gcom-corore</w:t>
      </w:r>
    </w:p>
    <w:bookmarkStart w:id="246" w:name="threshold-requirements-52"/>
    <w:p>
      <w:pPr>
        <w:pStyle w:val="berschrift5"/>
      </w:pPr>
      <w:r>
        <w:t xml:space="preserve">Threshold requirements:</w:t>
      </w:r>
    </w:p>
    <w:p>
      <w:pPr>
        <w:pStyle w:val="FirstParagraph"/>
      </w:pPr>
      <w:r>
        <w:t xml:space="preserve">Co-registration is performed to ensure consistency of pixel location in each spectral band of one image at 0.5 GSD.</w:t>
      </w:r>
    </w:p>
    <w:p>
      <w:pPr>
        <w:pStyle w:val="Textkrper"/>
      </w:pPr>
      <w:r>
        <w:t xml:space="preserve">Ortho rectification specifies the pointing accuracy related to a geographic reference grid. The associated uncertainty is pixel size dependent and therefore cannot be given an a priori measure of uncertainty.</w:t>
      </w:r>
    </w:p>
    <w:p>
      <w:pPr>
        <w:pStyle w:val="Textkrper"/>
      </w:pPr>
      <w:r>
        <w:t xml:space="preserve">The specifications of the co-registration and ortho-rectification processing (including parameterisation data) must be provided, including the estimated uncertainty of each processing, in publicly available documentation.</w:t>
      </w:r>
    </w:p>
    <w:p>
      <w:pPr>
        <w:pStyle w:val="Textkrper"/>
      </w:pPr>
      <w:r>
        <w:t xml:space="preserve">Note:</w:t>
      </w:r>
    </w:p>
    <w:p>
      <w:pPr>
        <w:pStyle w:val="Compact"/>
        <w:numPr>
          <w:ilvl w:val="0"/>
          <w:numId w:val="1092"/>
        </w:numPr>
      </w:pPr>
      <w:r>
        <w:t xml:space="preserve">Including but not limited to ocean-to-sea to coastal, estuarine, deltaic, lagoonal waters and inland water bodies such as canals, rivers, lakes and reservoirs.</w:t>
      </w:r>
    </w:p>
    <w:bookmarkEnd w:id="246"/>
    <w:bookmarkStart w:id="247" w:name="goal-requirements-52"/>
    <w:p>
      <w:pPr>
        <w:pStyle w:val="berschrift5"/>
      </w:pPr>
      <w:r>
        <w:t xml:space="preserve">Goal requirements:</w:t>
      </w:r>
    </w:p>
    <w:p>
      <w:pPr>
        <w:pStyle w:val="FirstParagraph"/>
      </w:pPr>
      <w:r>
        <w:t xml:space="preserve">Co-registration is performed to ensure consistency of pixel location in each spectral band of one image at 0.2 GSD.</w:t>
      </w:r>
    </w:p>
    <w:p>
      <w:pPr>
        <w:pStyle w:val="Textkrper"/>
      </w:pPr>
      <w:r>
        <w:t xml:space="preserve">Ortho rectification specifies the pointing accuracy related to a geographic reference grid. The associated uncertainty is pixel size dependent and therefore cannot be given an a priori measure of uncertainty.</w:t>
      </w:r>
    </w:p>
    <w:p>
      <w:pPr>
        <w:pStyle w:val="Textkrper"/>
      </w:pPr>
      <w:r>
        <w:t xml:space="preserve">The specifications of the co-registration and ortho-rectification processing (including parameterisation data) must be provided, including the estimated uncertainty of each processing, in publicly available documentation.</w:t>
      </w:r>
    </w:p>
    <w:bookmarkEnd w:id="247"/>
    <w:bookmarkStart w:id="248" w:name="assessment-52"/>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br w:type="page"/>
      </w:r>
    </w:p>
    <w:bookmarkEnd w:id="248"/>
    <w:bookmarkEnd w:id="249"/>
    <w:bookmarkEnd w:id="250"/>
    <w:bookmarkEnd w:id="251"/>
    <w:bookmarkStart w:id="256" w:name="summary-self-assessment-table"/>
    <w:p>
      <w:pPr>
        <w:pStyle w:val="berschrift2"/>
      </w:pPr>
      <w:r>
        <w:t xml:space="preserve">Summary Self-Assessment Table</w:t>
      </w:r>
    </w:p>
    <w:bookmarkStart w:id="252"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meta-ardver</w:t>
            </w:r>
          </w:p>
        </w:tc>
        <w:tc>
          <w:tcPr/>
          <w:p>
            <w:pPr>
              <w:pStyle w:val="Compact"/>
            </w:pPr>
            <w:r>
              <w:t xml:space="preserve">CEOS-ARD PFS Compliance Version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meta-trace-ar</w:t>
            </w:r>
          </w:p>
        </w:tc>
        <w:tc>
          <w:tcPr/>
          <w:p>
            <w:pPr>
              <w:pStyle w:val="Compact"/>
            </w:pPr>
            <w:r>
              <w:t xml:space="preserve">Traceability</w:t>
            </w:r>
          </w:p>
        </w:tc>
        <w:tc>
          <w:tcPr/>
          <w:p>
            <w:pPr>
              <w:pStyle w:val="Compact"/>
            </w:pPr>
          </w:p>
        </w:tc>
        <w:tc>
          <w:tcPr/>
          <w:p>
            <w:pPr>
              <w:pStyle w:val="Compact"/>
            </w:pPr>
          </w:p>
        </w:tc>
      </w:tr>
      <w:tr>
        <w:tc>
          <w:tcPr/>
          <w:p>
            <w:pPr>
              <w:pStyle w:val="Compact"/>
            </w:pPr>
            <w:r>
              <w:rPr>
                <w:rStyle w:val="VerbatimChar"/>
              </w:rPr>
              <w:t xml:space="preserve">meta-memare-optical</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meta-time-ar</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meta-geoarea-optical</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meta-crs-ar</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meta-mapproj-ar</w:t>
            </w:r>
          </w:p>
        </w:tc>
        <w:tc>
          <w:tcPr/>
          <w:p>
            <w:pPr>
              <w:pStyle w:val="Compact"/>
            </w:pPr>
            <w:r>
              <w:t xml:space="preserve">Map Projection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meta-geocorm-ar</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meta-geounc</w:t>
            </w:r>
          </w:p>
        </w:tc>
        <w:tc>
          <w:tcPr/>
          <w:p>
            <w:pPr>
              <w:pStyle w:val="Compact"/>
            </w:pPr>
            <w:r>
              <w:t xml:space="preserve">Geometric Uncertainty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meta-instru-ar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meta-specband-ar</w:t>
            </w:r>
          </w:p>
        </w:tc>
        <w:tc>
          <w:tcPr/>
          <w:p>
            <w:pPr>
              <w:pStyle w:val="Compact"/>
            </w:pPr>
            <w:r>
              <w:t xml:space="preserve">Spectral Bands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meta-sencal-ar</w:t>
            </w:r>
          </w:p>
        </w:tc>
        <w:tc>
          <w:tcPr/>
          <w:p>
            <w:pPr>
              <w:pStyle w:val="Compact"/>
            </w:pPr>
            <w:r>
              <w:t xml:space="preserve">Sensor Calibration</w:t>
            </w:r>
          </w:p>
        </w:tc>
        <w:tc>
          <w:tcPr/>
          <w:p>
            <w:pPr>
              <w:pStyle w:val="Compact"/>
            </w:pPr>
          </w:p>
        </w:tc>
        <w:tc>
          <w:tcPr/>
          <w:p>
            <w:pPr>
              <w:pStyle w:val="Compact"/>
            </w:pPr>
          </w:p>
        </w:tc>
      </w:tr>
      <w:tr>
        <w:tc>
          <w:tcPr/>
          <w:p>
            <w:pPr>
              <w:pStyle w:val="Compact"/>
            </w:pPr>
            <w:r>
              <w:rPr>
                <w:rStyle w:val="VerbatimChar"/>
              </w:rPr>
              <w:t xml:space="preserve">meta-radunc</w:t>
            </w:r>
          </w:p>
        </w:tc>
        <w:tc>
          <w:tcPr/>
          <w:p>
            <w:pPr>
              <w:pStyle w:val="Compact"/>
            </w:pPr>
            <w:r>
              <w:t xml:space="preserve">Measurand Radiometric Uncertainty</w:t>
            </w:r>
          </w:p>
        </w:tc>
        <w:tc>
          <w:tcPr/>
          <w:p>
            <w:pPr>
              <w:pStyle w:val="Compact"/>
            </w:pPr>
          </w:p>
        </w:tc>
        <w:tc>
          <w:tcPr/>
          <w:p>
            <w:pPr>
              <w:pStyle w:val="Compact"/>
            </w:pPr>
          </w:p>
        </w:tc>
      </w:tr>
      <w:tr>
        <w:tc>
          <w:tcPr/>
          <w:p>
            <w:pPr>
              <w:pStyle w:val="Compact"/>
            </w:pPr>
            <w:r>
              <w:rPr>
                <w:rStyle w:val="VerbatimChar"/>
              </w:rPr>
              <w:t xml:space="preserve">meta-radenc</w:t>
            </w:r>
          </w:p>
        </w:tc>
        <w:tc>
          <w:tcPr/>
          <w:p>
            <w:pPr>
              <w:pStyle w:val="Compact"/>
            </w:pPr>
            <w:r>
              <w:t xml:space="preserve">Radiometric Encoding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meta-malgos-ar</w:t>
            </w:r>
          </w:p>
        </w:tc>
        <w:tc>
          <w:tcPr/>
          <w:p>
            <w:pPr>
              <w:pStyle w:val="Compact"/>
            </w:pPr>
            <w:r>
              <w:t xml:space="preserve">Algorithms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meta-auxdat-ar</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meta-proprov-ar</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meta-valpix</w:t>
            </w:r>
          </w:p>
        </w:tc>
        <w:tc>
          <w:tcPr/>
          <w:p>
            <w:pPr>
              <w:pStyle w:val="Compact"/>
            </w:pPr>
            <w:r>
              <w:t xml:space="preserve">Valid Pixels</w:t>
            </w:r>
          </w:p>
        </w:tc>
        <w:tc>
          <w:tcPr/>
          <w:p>
            <w:pPr>
              <w:pStyle w:val="Compact"/>
            </w:pPr>
          </w:p>
        </w:tc>
        <w:tc>
          <w:tcPr/>
          <w:p>
            <w:pPr>
              <w:pStyle w:val="Compact"/>
              <w:jc w:val="center"/>
            </w:pPr>
            <w:r>
              <w:rPr>
                <w:i/>
                <w:iCs/>
              </w:rPr>
              <w:t xml:space="preserve">as threshold</w:t>
            </w:r>
          </w:p>
        </w:tc>
      </w:tr>
    </w:tbl>
    <w:bookmarkEnd w:id="252"/>
    <w:bookmarkStart w:id="253"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pxl-pimemare</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pxl-pinodat-ar</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pxl-pixass</w:t>
            </w:r>
          </w:p>
        </w:tc>
        <w:tc>
          <w:tcPr/>
          <w:p>
            <w:pPr>
              <w:pStyle w:val="Compact"/>
            </w:pPr>
            <w:r>
              <w:t xml:space="preserve">Per-pixel Assessment</w:t>
            </w:r>
          </w:p>
        </w:tc>
        <w:tc>
          <w:tcPr/>
          <w:p>
            <w:pPr>
              <w:pStyle w:val="Compact"/>
            </w:pPr>
          </w:p>
        </w:tc>
        <w:tc>
          <w:tcPr/>
          <w:p>
            <w:pPr>
              <w:pStyle w:val="Compact"/>
            </w:pPr>
          </w:p>
        </w:tc>
      </w:tr>
      <w:tr>
        <w:tc>
          <w:tcPr/>
          <w:p>
            <w:pPr>
              <w:pStyle w:val="Compact"/>
            </w:pPr>
            <w:r>
              <w:rPr>
                <w:rStyle w:val="VerbatimChar"/>
              </w:rPr>
              <w:t xml:space="preserve">pxl-pisatur-ar</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pxl-picloud-ar</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pxl-picloudsh-ar</w:t>
            </w:r>
          </w:p>
        </w:tc>
        <w:tc>
          <w:tcPr/>
          <w:p>
            <w:pPr>
              <w:pStyle w:val="Compact"/>
            </w:pPr>
            <w:r>
              <w:t xml:space="preserve">Cloud Shadow</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pxl-lawama-ar</w:t>
            </w:r>
          </w:p>
        </w:tc>
        <w:tc>
          <w:tcPr/>
          <w:p>
            <w:pPr>
              <w:pStyle w:val="Compact"/>
            </w:pPr>
            <w:r>
              <w:t xml:space="preserve">Land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pxl-pice</w:t>
            </w:r>
          </w:p>
        </w:tc>
        <w:tc>
          <w:tcPr/>
          <w:p>
            <w:pPr>
              <w:pStyle w:val="Compact"/>
            </w:pPr>
            <w:r>
              <w:t xml:space="preserve">Ice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pxl-pisungli</w:t>
            </w:r>
          </w:p>
        </w:tc>
        <w:tc>
          <w:tcPr/>
          <w:p>
            <w:pPr>
              <w:pStyle w:val="Compact"/>
            </w:pPr>
            <w:r>
              <w:t xml:space="preserve">Sun Glint</w:t>
            </w:r>
          </w:p>
        </w:tc>
        <w:tc>
          <w:tcPr/>
          <w:p>
            <w:pPr>
              <w:pStyle w:val="Compact"/>
            </w:pPr>
          </w:p>
        </w:tc>
        <w:tc>
          <w:tcPr/>
          <w:p>
            <w:pPr>
              <w:pStyle w:val="Compact"/>
            </w:pPr>
          </w:p>
        </w:tc>
      </w:tr>
      <w:tr>
        <w:tc>
          <w:tcPr/>
          <w:p>
            <w:pPr>
              <w:pStyle w:val="Compact"/>
            </w:pPr>
            <w:r>
              <w:rPr>
                <w:rStyle w:val="VerbatimChar"/>
              </w:rPr>
              <w:t xml:space="preserve">pxl-piskygli</w:t>
            </w:r>
          </w:p>
        </w:tc>
        <w:tc>
          <w:tcPr/>
          <w:p>
            <w:pPr>
              <w:pStyle w:val="Compact"/>
            </w:pPr>
            <w:r>
              <w:t xml:space="preserve">Sky Glint</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pxl-vigeso-ar</w:t>
            </w:r>
          </w:p>
        </w:tc>
        <w:tc>
          <w:tcPr/>
          <w:p>
            <w:pPr>
              <w:pStyle w:val="Compact"/>
            </w:pPr>
            <w:r>
              <w:t xml:space="preserve">Solar and Viewing Geometry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pxl-piwhifo</w:t>
            </w:r>
          </w:p>
        </w:tc>
        <w:tc>
          <w:tcPr/>
          <w:p>
            <w:pPr>
              <w:pStyle w:val="Compact"/>
            </w:pPr>
            <w:r>
              <w:t xml:space="preserve">Whitecap / Foam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pxl-paodpara</w:t>
            </w:r>
          </w:p>
        </w:tc>
        <w:tc>
          <w:tcPr/>
          <w:p>
            <w:pPr>
              <w:pStyle w:val="Compact"/>
            </w:pPr>
            <w:r>
              <w:t xml:space="preserve">Aerosol Optical Depth Parameters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pxl-pajdeff</w:t>
            </w:r>
          </w:p>
        </w:tc>
        <w:tc>
          <w:tcPr/>
          <w:p>
            <w:pPr>
              <w:pStyle w:val="Compact"/>
            </w:pPr>
            <w:r>
              <w:t xml:space="preserve">Adjacency Effects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pxl-floatveg</w:t>
            </w:r>
          </w:p>
        </w:tc>
        <w:tc>
          <w:tcPr/>
          <w:p>
            <w:pPr>
              <w:pStyle w:val="Compact"/>
            </w:pPr>
            <w:r>
              <w:t xml:space="preserve">Floating Vegetation / Surface Scum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pxl-pibathy</w:t>
            </w:r>
          </w:p>
        </w:tc>
        <w:tc>
          <w:tcPr/>
          <w:p>
            <w:pPr>
              <w:pStyle w:val="Compact"/>
            </w:pPr>
            <w:r>
              <w:t xml:space="preserve">Bathymetry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pxl-podosas</w:t>
            </w:r>
          </w:p>
        </w:tc>
        <w:tc>
          <w:tcPr/>
          <w:p>
            <w:pPr>
              <w:pStyle w:val="Compact"/>
            </w:pPr>
            <w:r>
              <w:t xml:space="preserve">Optically Deep or Optically Shallow Assessment</w:t>
            </w:r>
          </w:p>
        </w:tc>
        <w:tc>
          <w:tcPr/>
          <w:p>
            <w:pPr>
              <w:pStyle w:val="Compact"/>
            </w:pPr>
          </w:p>
        </w:tc>
        <w:tc>
          <w:tcPr/>
          <w:p>
            <w:pPr>
              <w:pStyle w:val="Compact"/>
            </w:pPr>
          </w:p>
        </w:tc>
      </w:tr>
      <w:tr>
        <w:tc>
          <w:tcPr/>
          <w:p>
            <w:pPr>
              <w:pStyle w:val="Compact"/>
            </w:pPr>
            <w:r>
              <w:rPr>
                <w:rStyle w:val="VerbatimChar"/>
              </w:rPr>
              <w:t xml:space="preserve">pxl-powaty</w:t>
            </w:r>
          </w:p>
        </w:tc>
        <w:tc>
          <w:tcPr/>
          <w:p>
            <w:pPr>
              <w:pStyle w:val="Compact"/>
            </w:pPr>
            <w:r>
              <w:t xml:space="preserve">Optical Water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pxl-pituwa</w:t>
            </w:r>
          </w:p>
        </w:tc>
        <w:tc>
          <w:tcPr/>
          <w:p>
            <w:pPr>
              <w:pStyle w:val="Compact"/>
            </w:pPr>
            <w:r>
              <w:t xml:space="preserve">Turbid Water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pxl-piwaele</w:t>
            </w:r>
          </w:p>
        </w:tc>
        <w:tc>
          <w:tcPr/>
          <w:p>
            <w:pPr>
              <w:pStyle w:val="Compact"/>
            </w:pPr>
            <w:r>
              <w:t xml:space="preserve">Elevation</w:t>
            </w:r>
          </w:p>
        </w:tc>
        <w:tc>
          <w:tcPr/>
          <w:p>
            <w:pPr>
              <w:pStyle w:val="Compact"/>
            </w:pPr>
          </w:p>
        </w:tc>
        <w:tc>
          <w:tcPr/>
          <w:p>
            <w:pPr>
              <w:pStyle w:val="Compact"/>
              <w:jc w:val="center"/>
            </w:pPr>
            <w:r>
              <w:rPr>
                <w:i/>
                <w:iCs/>
              </w:rPr>
              <w:t xml:space="preserve">as threshold</w:t>
            </w:r>
          </w:p>
        </w:tc>
      </w:tr>
    </w:tbl>
    <w:bookmarkEnd w:id="253"/>
    <w:bookmarkStart w:id="254" w:name="products-and-algorithms"/>
    <w:p>
      <w:pPr>
        <w:pStyle w:val="berschrift3"/>
      </w:pPr>
      <w:r>
        <w:t xml:space="preserve">Products and Algorithms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pral-measur-ar</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pral-muncer-ar</w:t>
            </w:r>
          </w:p>
        </w:tc>
        <w:tc>
          <w:tcPr/>
          <w:p>
            <w:pPr>
              <w:pStyle w:val="Compact"/>
            </w:pPr>
            <w:r>
              <w:t xml:space="preserve">Measurement Uncertainty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pral-mnormal-ar</w:t>
            </w:r>
          </w:p>
        </w:tc>
        <w:tc>
          <w:tcPr/>
          <w:p>
            <w:pPr>
              <w:pStyle w:val="Compact"/>
            </w:pPr>
            <w:r>
              <w:t xml:space="preserve">Measurement Normalisation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pral-dirats-ar</w:t>
            </w:r>
          </w:p>
        </w:tc>
        <w:tc>
          <w:tcPr/>
          <w:p>
            <w:pPr>
              <w:pStyle w:val="Compact"/>
            </w:pPr>
            <w:r>
              <w:t xml:space="preserve">Directional Atmospheric Scattering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pral-wavap-ar</w:t>
            </w:r>
          </w:p>
        </w:tc>
        <w:tc>
          <w:tcPr/>
          <w:p>
            <w:pPr>
              <w:pStyle w:val="Compact"/>
            </w:pPr>
            <w:r>
              <w:t xml:space="preserve">Water Vapour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pral-cozone</w:t>
            </w:r>
          </w:p>
        </w:tc>
        <w:tc>
          <w:tcPr/>
          <w:p>
            <w:pPr>
              <w:pStyle w:val="Compact"/>
            </w:pPr>
            <w:r>
              <w:t xml:space="preserve">Ozone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pral-ogasab</w:t>
            </w:r>
          </w:p>
        </w:tc>
        <w:tc>
          <w:tcPr/>
          <w:p>
            <w:pPr>
              <w:pStyle w:val="Compact"/>
            </w:pPr>
            <w:r>
              <w:t xml:space="preserve">Other Gaseous Absorption Corrections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pral-cosungli</w:t>
            </w:r>
          </w:p>
        </w:tc>
        <w:tc>
          <w:tcPr/>
          <w:p>
            <w:pPr>
              <w:pStyle w:val="Compact"/>
            </w:pPr>
            <w:r>
              <w:t xml:space="preserve">Sun Glint Correction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pral-coskygli</w:t>
            </w:r>
          </w:p>
        </w:tc>
        <w:tc>
          <w:tcPr/>
          <w:p>
            <w:pPr>
              <w:pStyle w:val="Compact"/>
            </w:pPr>
            <w:r>
              <w:t xml:space="preserve">Sky Glint Correction</w:t>
            </w:r>
          </w:p>
        </w:tc>
        <w:tc>
          <w:tcPr/>
          <w:p>
            <w:pPr>
              <w:pStyle w:val="Compact"/>
            </w:pPr>
          </w:p>
        </w:tc>
        <w:tc>
          <w:tcPr/>
          <w:p>
            <w:pPr>
              <w:pStyle w:val="Compact"/>
            </w:pPr>
          </w:p>
        </w:tc>
      </w:tr>
      <w:tr>
        <w:tc>
          <w:tcPr/>
          <w:p>
            <w:pPr>
              <w:pStyle w:val="Compact"/>
            </w:pPr>
            <w:r>
              <w:rPr>
                <w:rStyle w:val="VerbatimChar"/>
              </w:rPr>
              <w:t xml:space="preserve">pral-cowhifo</w:t>
            </w:r>
          </w:p>
        </w:tc>
        <w:tc>
          <w:tcPr/>
          <w:p>
            <w:pPr>
              <w:pStyle w:val="Compact"/>
            </w:pPr>
            <w:r>
              <w:t xml:space="preserve">Whitecap / Foam Correction</w:t>
            </w:r>
          </w:p>
        </w:tc>
        <w:tc>
          <w:tcPr/>
          <w:p>
            <w:pPr>
              <w:pStyle w:val="Compact"/>
            </w:pPr>
          </w:p>
        </w:tc>
        <w:tc>
          <w:tcPr/>
          <w:p>
            <w:pPr>
              <w:pStyle w:val="Compact"/>
            </w:pPr>
          </w:p>
        </w:tc>
      </w:tr>
      <w:tr>
        <w:tc>
          <w:tcPr/>
          <w:p>
            <w:pPr>
              <w:pStyle w:val="Compact"/>
            </w:pPr>
            <w:r>
              <w:rPr>
                <w:rStyle w:val="VerbatimChar"/>
              </w:rPr>
              <w:t xml:space="preserve">pral-cajdeff</w:t>
            </w:r>
          </w:p>
        </w:tc>
        <w:tc>
          <w:tcPr/>
          <w:p>
            <w:pPr>
              <w:pStyle w:val="Compact"/>
            </w:pPr>
            <w:r>
              <w:t xml:space="preserve">Adjacency Effects Correction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pral-cotuwa</w:t>
            </w:r>
          </w:p>
        </w:tc>
        <w:tc>
          <w:tcPr/>
          <w:p>
            <w:pPr>
              <w:pStyle w:val="Compact"/>
            </w:pPr>
            <w:r>
              <w:t xml:space="preserve">Turbid Water Reflectance Correction</w:t>
            </w:r>
          </w:p>
        </w:tc>
        <w:tc>
          <w:tcPr/>
          <w:p>
            <w:pPr>
              <w:pStyle w:val="Compact"/>
            </w:pPr>
          </w:p>
        </w:tc>
        <w:tc>
          <w:tcPr/>
          <w:p>
            <w:pPr>
              <w:pStyle w:val="Compact"/>
              <w:jc w:val="center"/>
            </w:pPr>
            <w:r>
              <w:rPr>
                <w:i/>
                <w:iCs/>
              </w:rPr>
              <w:t xml:space="preserve">as threshold</w:t>
            </w:r>
          </w:p>
        </w:tc>
      </w:tr>
    </w:tbl>
    <w:bookmarkEnd w:id="254"/>
    <w:bookmarkStart w:id="255" w:name="Xc6e26d369529cdba33c511a7fba4df43485f09c"/>
    <w:p>
      <w:pPr>
        <w:pStyle w:val="berschrift3"/>
      </w:pPr>
      <w:r>
        <w:t xml:space="preserve">Geometric Corrections Metadata (Co-Registration and Ortho-Rectification)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gcom-geocorr-ar</w:t>
            </w:r>
          </w:p>
        </w:tc>
        <w:tc>
          <w:tcPr/>
          <w:p>
            <w:pPr>
              <w:pStyle w:val="Compact"/>
            </w:pPr>
            <w:r>
              <w:t xml:space="preserve">Geometric Correction</w:t>
            </w:r>
          </w:p>
        </w:tc>
        <w:tc>
          <w:tcPr/>
          <w:p>
            <w:pPr>
              <w:pStyle w:val="Compact"/>
            </w:pPr>
          </w:p>
        </w:tc>
        <w:tc>
          <w:tcPr/>
          <w:p>
            <w:pPr>
              <w:pStyle w:val="Compact"/>
            </w:pPr>
          </w:p>
        </w:tc>
      </w:tr>
      <w:tr>
        <w:tc>
          <w:tcPr/>
          <w:p>
            <w:pPr>
              <w:pStyle w:val="Compact"/>
            </w:pPr>
            <w:r>
              <w:rPr>
                <w:rStyle w:val="VerbatimChar"/>
              </w:rPr>
              <w:t xml:space="preserve">gcom-corore</w:t>
            </w:r>
          </w:p>
        </w:tc>
        <w:tc>
          <w:tcPr/>
          <w:p>
            <w:pPr>
              <w:pStyle w:val="Compact"/>
            </w:pPr>
            <w:r>
              <w:t xml:space="preserve">Co-Registration and Ortho-Rectification</w:t>
            </w:r>
          </w:p>
        </w:tc>
        <w:tc>
          <w:tcPr/>
          <w:p>
            <w:pPr>
              <w:pStyle w:val="Compact"/>
            </w:pPr>
          </w:p>
        </w:tc>
        <w:tc>
          <w:tcPr/>
          <w:p>
            <w:pPr>
              <w:pStyle w:val="Compact"/>
            </w:pPr>
          </w:p>
        </w:tc>
      </w:tr>
    </w:tbl>
    <w:p>
      <w:r>
        <w:br w:type="page"/>
      </w:r>
    </w:p>
    <w:bookmarkEnd w:id="255"/>
    <w:bookmarkEnd w:id="256"/>
    <w:bookmarkStart w:id="261"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7"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7"/>
    <w:bookmarkStart w:id="25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4"/>
        </w:numPr>
      </w:pPr>
      <w:r>
        <w:t xml:space="preserve">that product has been assessed as meeting CEOS-ARD requirements by the agency responsible for production and distribution of the product, and</w:t>
      </w:r>
    </w:p>
    <w:p>
      <w:pPr>
        <w:pStyle w:val="Compact"/>
        <w:numPr>
          <w:ilvl w:val="0"/>
          <w:numId w:val="109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8">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9"/>
    <w:bookmarkStart w:id="26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60"/>
    <w:bookmarkEnd w:id="261"/>
    <w:bookmarkStart w:id="420" w:name="references"/>
    <w:p>
      <w:pPr>
        <w:pStyle w:val="berschrift2"/>
      </w:pPr>
      <w:r>
        <w:t xml:space="preserve">References</w:t>
      </w:r>
    </w:p>
    <w:bookmarkStart w:id="419" w:name="refs"/>
    <w:bookmarkStart w:id="263" w:name="ref-bell2023"/>
    <w:p>
      <w:pPr>
        <w:pStyle w:val="Literaturverzeichnis"/>
      </w:pPr>
      <w:r>
        <w:t xml:space="preserve">Bell, Kyle C. AND Saccomanno, Tom W. AND Cavanaugh. 2023.</w:t>
      </w:r>
      <w:r>
        <w:t xml:space="preserve"> </w:t>
      </w:r>
      <w:r>
        <w:t xml:space="preserve">“Kelpwatch: A New Visualization and Analysis Tool to Explore Kelp Canopy Dynamics Reveals Variable Response to and Recovery from Marine Heatwaves.”</w:t>
      </w:r>
      <w:r>
        <w:t xml:space="preserve"> </w:t>
      </w:r>
      <w:r>
        <w:rPr>
          <w:i/>
          <w:iCs/>
        </w:rPr>
        <w:t xml:space="preserve">PLOS ONE</w:t>
      </w:r>
      <w:r>
        <w:t xml:space="preserve"> </w:t>
      </w:r>
      <w:r>
        <w:t xml:space="preserve">18 (3): 1–21.</w:t>
      </w:r>
      <w:r>
        <w:t xml:space="preserve"> </w:t>
      </w:r>
      <w:hyperlink r:id="rId262">
        <w:r>
          <w:rPr>
            <w:rStyle w:val="Hyperlink"/>
          </w:rPr>
          <w:t xml:space="preserve">https://doi.org/10.1371/journal.pone.0271477</w:t>
        </w:r>
      </w:hyperlink>
      <w:r>
        <w:t xml:space="preserve">.</w:t>
      </w:r>
    </w:p>
    <w:bookmarkEnd w:id="263"/>
    <w:bookmarkStart w:id="265" w:name="ref-hieronymi2024"/>
    <w:p>
      <w:pPr>
        <w:pStyle w:val="Literaturverzeichnis"/>
      </w:pPr>
      <w:r>
        <w:t xml:space="preserve">Bi, Shun, and Martin Hieronymi. 2024.</w:t>
      </w:r>
      <w:r>
        <w:t xml:space="preserve"> </w:t>
      </w:r>
      <w:r>
        <w:t xml:space="preserve">“Holistic Optical Water Type Classification for Ocean, Coastal, and Inland Waters.”</w:t>
      </w:r>
      <w:r>
        <w:t xml:space="preserve"> </w:t>
      </w:r>
      <w:r>
        <w:rPr>
          <w:i/>
          <w:iCs/>
        </w:rPr>
        <w:t xml:space="preserve">Limnology and Oceanography</w:t>
      </w:r>
      <w:r>
        <w:t xml:space="preserve"> </w:t>
      </w:r>
      <w:r>
        <w:t xml:space="preserve">69 (7): 1547–61. https://doi.org/</w:t>
      </w:r>
      <w:hyperlink r:id="rId264">
        <w:r>
          <w:rPr>
            <w:rStyle w:val="Hyperlink"/>
          </w:rPr>
          <w:t xml:space="preserve">https://doi.org/10.1002/lno.12606</w:t>
        </w:r>
      </w:hyperlink>
      <w:r>
        <w:t xml:space="preserve">.</w:t>
      </w:r>
    </w:p>
    <w:bookmarkEnd w:id="265"/>
    <w:bookmarkStart w:id="267" w:name="ref-botha2016"/>
    <w:p>
      <w:pPr>
        <w:pStyle w:val="Literaturverzeichnis"/>
      </w:pPr>
      <w:r>
        <w:t xml:space="preserve">Botha, Elizabeth J., Vittorio E. Brando, and Arnold G. Dekker. 2016.</w:t>
      </w:r>
      <w:r>
        <w:t xml:space="preserve"> </w:t>
      </w:r>
      <w:r>
        <w:t xml:space="preserve">“Effects of Per-Pixel Variability on Uncertainties in Bathymetric Retrievals from High-Resolution Satellite Images.”</w:t>
      </w:r>
      <w:r>
        <w:t xml:space="preserve"> </w:t>
      </w:r>
      <w:r>
        <w:rPr>
          <w:i/>
          <w:iCs/>
        </w:rPr>
        <w:t xml:space="preserve">Remote Sensing</w:t>
      </w:r>
      <w:r>
        <w:t xml:space="preserve"> </w:t>
      </w:r>
      <w:r>
        <w:t xml:space="preserve">8 (6).</w:t>
      </w:r>
      <w:r>
        <w:t xml:space="preserve"> </w:t>
      </w:r>
      <w:hyperlink r:id="rId266">
        <w:r>
          <w:rPr>
            <w:rStyle w:val="Hyperlink"/>
          </w:rPr>
          <w:t xml:space="preserve">https://doi.org/10.3390/rs8060459</w:t>
        </w:r>
      </w:hyperlink>
      <w:r>
        <w:t xml:space="preserve">.</w:t>
      </w:r>
    </w:p>
    <w:bookmarkEnd w:id="267"/>
    <w:bookmarkStart w:id="269" w:name="ref-bourg2014"/>
    <w:p>
      <w:pPr>
        <w:pStyle w:val="Literaturverzeichnis"/>
      </w:pPr>
      <w:r>
        <w:t xml:space="preserve">Bourg, L. 2014.</w:t>
      </w:r>
      <w:r>
        <w:t xml:space="preserve"> </w:t>
      </w:r>
      <w:r>
        <w:t xml:space="preserve">“Sentinel-3 OLCI Level 0 and Level 1B, Algorithm Theoretical Basis Document (ATBD), Issue 5.0.”</w:t>
      </w:r>
      <w:r>
        <w:t xml:space="preserve"> </w:t>
      </w:r>
      <w:r>
        <w:t xml:space="preserve">Algorithm Theoretical Basis Document S3-ACR-TN-007.</w:t>
      </w:r>
      <w:r>
        <w:t xml:space="preserve"> </w:t>
      </w:r>
      <w:hyperlink r:id="rId268">
        <w:r>
          <w:rPr>
            <w:rStyle w:val="Hyperlink"/>
          </w:rPr>
          <w:t xml:space="preserve">https://sentiwiki.copernicus.eu/__attachments/1672112/S3-ACR-TN-007%20-%20Sentinel%203%20OLCI%20Level%200%20and%201B%20ATBD%202014%20-%205.0.pdf</w:t>
        </w:r>
      </w:hyperlink>
      <w:r>
        <w:t xml:space="preserve">.</w:t>
      </w:r>
    </w:p>
    <w:bookmarkEnd w:id="269"/>
    <w:bookmarkStart w:id="271" w:name="ref-brando2009"/>
    <w:p>
      <w:pPr>
        <w:pStyle w:val="Literaturverzeichnis"/>
      </w:pPr>
      <w:r>
        <w:t xml:space="preserve">Brando, Vittorio E., Janet M. Anstee, Magnus Wettle, Arnold G. Dekker, Stuart R. Phinn, and Chris Roelfsema. 2009.</w:t>
      </w:r>
      <w:r>
        <w:t xml:space="preserve"> </w:t>
      </w:r>
      <w:r>
        <w:t xml:space="preserve">“A Physics Based Retrieval and Quality Assessment of Bathymetry from Suboptimal Hyperspectral Data.”</w:t>
      </w:r>
      <w:r>
        <w:t xml:space="preserve"> </w:t>
      </w:r>
      <w:r>
        <w:rPr>
          <w:i/>
          <w:iCs/>
        </w:rPr>
        <w:t xml:space="preserve">Remote Sensing of Environment</w:t>
      </w:r>
      <w:r>
        <w:t xml:space="preserve"> </w:t>
      </w:r>
      <w:r>
        <w:t xml:space="preserve">113 (4): 755–70. https://doi.org/</w:t>
      </w:r>
      <w:hyperlink r:id="rId270">
        <w:r>
          <w:rPr>
            <w:rStyle w:val="Hyperlink"/>
          </w:rPr>
          <w:t xml:space="preserve">https://doi.org/10.1016/j.rse.2008.12.003</w:t>
        </w:r>
      </w:hyperlink>
      <w:r>
        <w:t xml:space="preserve">.</w:t>
      </w:r>
    </w:p>
    <w:bookmarkEnd w:id="271"/>
    <w:bookmarkStart w:id="273" w:name="ref-bresciani2014"/>
    <w:p>
      <w:pPr>
        <w:pStyle w:val="Literaturverzeichnis"/>
      </w:pPr>
      <w:r>
        <w:t xml:space="preserve">Bresciani, Mariano, Maria Adamo, Giacomo De Carolis, Erica Matta, Guido Pasquariello, Diana Vaičiūtė, and Claudia Giardino. 2014.</w:t>
      </w:r>
      <w:r>
        <w:t xml:space="preserve"> </w:t>
      </w:r>
      <w:r>
        <w:t xml:space="preserve">“Monitoring Blooms and Surface Accumulation of Cyanobacteria in the Curonian Lagoon by Combining MERIS and ASAR Data.”</w:t>
      </w:r>
      <w:r>
        <w:t xml:space="preserve"> </w:t>
      </w:r>
      <w:r>
        <w:rPr>
          <w:i/>
          <w:iCs/>
        </w:rPr>
        <w:t xml:space="preserve">Remote Sensing of Environment</w:t>
      </w:r>
      <w:r>
        <w:t xml:space="preserve"> </w:t>
      </w:r>
      <w:r>
        <w:t xml:space="preserve">146: 124–35. https://doi.org/</w:t>
      </w:r>
      <w:hyperlink r:id="rId272">
        <w:r>
          <w:rPr>
            <w:rStyle w:val="Hyperlink"/>
          </w:rPr>
          <w:t xml:space="preserve">https://doi.org/10.1016/j.rse.2013.07.040</w:t>
        </w:r>
      </w:hyperlink>
      <w:r>
        <w:t xml:space="preserve">.</w:t>
      </w:r>
    </w:p>
    <w:bookmarkEnd w:id="273"/>
    <w:bookmarkStart w:id="275" w:name="ref-bulgarelli2014"/>
    <w:p>
      <w:pPr>
        <w:pStyle w:val="Literaturverzeichnis"/>
      </w:pPr>
      <w:r>
        <w:t xml:space="preserve">Bulgarelli, Barbara, Viatcheslav Kiselev, and Giuseppe Zibordi. 2014.</w:t>
      </w:r>
      <w:r>
        <w:t xml:space="preserve"> </w:t>
      </w:r>
      <w:r>
        <w:t xml:space="preserve">“Simulation and Analysis of Adjacency Effects in Coastal Waters: A Case Study.”</w:t>
      </w:r>
      <w:r>
        <w:t xml:space="preserve"> </w:t>
      </w:r>
      <w:r>
        <w:rPr>
          <w:i/>
          <w:iCs/>
        </w:rPr>
        <w:t xml:space="preserve">Appl. Opt.</w:t>
      </w:r>
      <w:r>
        <w:t xml:space="preserve"> </w:t>
      </w:r>
      <w:r>
        <w:t xml:space="preserve">53 (8): 1523–45.</w:t>
      </w:r>
      <w:r>
        <w:t xml:space="preserve"> </w:t>
      </w:r>
      <w:hyperlink r:id="rId274">
        <w:r>
          <w:rPr>
            <w:rStyle w:val="Hyperlink"/>
          </w:rPr>
          <w:t xml:space="preserve">https://doi.org/10.1364/AO.53.001523</w:t>
        </w:r>
      </w:hyperlink>
      <w:r>
        <w:t xml:space="preserve">.</w:t>
      </w:r>
    </w:p>
    <w:bookmarkEnd w:id="275"/>
    <w:bookmarkStart w:id="277" w:name="ref-bulgarelli2018"/>
    <w:p>
      <w:pPr>
        <w:pStyle w:val="Literaturverzeichnis"/>
      </w:pPr>
      <w:r>
        <w:t xml:space="preserve">Bulgarelli, Barbara, and Giuseppe Zibordi. 2018.</w:t>
      </w:r>
      <w:r>
        <w:t xml:space="preserve"> </w:t>
      </w:r>
      <w:r>
        <w:t xml:space="preserve">“On the Detectability of Adjacency Effects in Ocean Color Remote Sensing of Mid-Latitude Coastal Environments by SeaWiFS, MODIS-a, MERIS, OLCI, OLI and MSI.”</w:t>
      </w:r>
      <w:r>
        <w:t xml:space="preserve"> </w:t>
      </w:r>
      <w:r>
        <w:rPr>
          <w:i/>
          <w:iCs/>
        </w:rPr>
        <w:t xml:space="preserve">Remote Sensing of Environment</w:t>
      </w:r>
      <w:r>
        <w:t xml:space="preserve"> </w:t>
      </w:r>
      <w:r>
        <w:t xml:space="preserve">209: 423–38. https://doi.org/</w:t>
      </w:r>
      <w:hyperlink r:id="rId276">
        <w:r>
          <w:rPr>
            <w:rStyle w:val="Hyperlink"/>
          </w:rPr>
          <w:t xml:space="preserve">https://doi.org/10.1016/j.rse.2017.12.021</w:t>
        </w:r>
      </w:hyperlink>
      <w:r>
        <w:t xml:space="preserve">.</w:t>
      </w:r>
    </w:p>
    <w:bookmarkEnd w:id="277"/>
    <w:bookmarkStart w:id="279" w:name="ref-castagna2025"/>
    <w:p>
      <w:pPr>
        <w:pStyle w:val="Literaturverzeichnis"/>
      </w:pPr>
      <w:r>
        <w:t xml:space="preserve">Castagna, Alexandre, and Quinten Vanhellemont. 2025.</w:t>
      </w:r>
      <w:r>
        <w:t xml:space="preserve"> </w:t>
      </w:r>
      <w:r>
        <w:t xml:space="preserve">“A Generalized Physics-Based Correction for Adjacency Effects.”</w:t>
      </w:r>
      <w:r>
        <w:t xml:space="preserve"> </w:t>
      </w:r>
      <w:r>
        <w:rPr>
          <w:i/>
          <w:iCs/>
        </w:rPr>
        <w:t xml:space="preserve">Appl. Opt.</w:t>
      </w:r>
      <w:r>
        <w:t xml:space="preserve"> </w:t>
      </w:r>
      <w:r>
        <w:t xml:space="preserve">64 (10): 2719–43.</w:t>
      </w:r>
      <w:r>
        <w:t xml:space="preserve"> </w:t>
      </w:r>
      <w:hyperlink r:id="rId278">
        <w:r>
          <w:rPr>
            <w:rStyle w:val="Hyperlink"/>
          </w:rPr>
          <w:t xml:space="preserve">https://doi.org/10.1364/AO.546766</w:t>
        </w:r>
      </w:hyperlink>
      <w:r>
        <w:t xml:space="preserve">.</w:t>
      </w:r>
    </w:p>
    <w:bookmarkEnd w:id="279"/>
    <w:bookmarkStart w:id="281" w:name="ref-dekker2011"/>
    <w:p>
      <w:pPr>
        <w:pStyle w:val="Literaturverzeichnis"/>
      </w:pPr>
      <w:r>
        <w:t xml:space="preserve">Dekker, Arnold G., Stuart R. Phinn, Janet Anstee, Paul Bissett, Vittorio E. Brando, Brandon Casey, Peter Fearns, et al. 2011.</w:t>
      </w:r>
      <w:r>
        <w:t xml:space="preserve"> </w:t>
      </w:r>
      <w:r>
        <w:t xml:space="preserve">“Intercomparison of Shallow Water Bathymetry, Hydro-Optics, and Benthos Mapping Techniques in Australian and Caribbean Coastal Environments.”</w:t>
      </w:r>
      <w:r>
        <w:t xml:space="preserve"> </w:t>
      </w:r>
      <w:r>
        <w:rPr>
          <w:i/>
          <w:iCs/>
        </w:rPr>
        <w:t xml:space="preserve">Limnology and Oceanography: Methods</w:t>
      </w:r>
      <w:r>
        <w:t xml:space="preserve"> </w:t>
      </w:r>
      <w:r>
        <w:t xml:space="preserve">9 (9): 396–425. https://doi.org/</w:t>
      </w:r>
      <w:hyperlink r:id="rId280">
        <w:r>
          <w:rPr>
            <w:rStyle w:val="Hyperlink"/>
          </w:rPr>
          <w:t xml:space="preserve">https://doi.org/10.4319/lom.2011.9.396</w:t>
        </w:r>
      </w:hyperlink>
      <w:r>
        <w:t xml:space="preserve">.</w:t>
      </w:r>
    </w:p>
    <w:bookmarkEnd w:id="281"/>
    <w:bookmarkStart w:id="283" w:name="ref-dierssen2019"/>
    <w:p>
      <w:pPr>
        <w:pStyle w:val="Literaturverzeichnis"/>
      </w:pPr>
      <w:r>
        <w:t xml:space="preserve">Dierssen, Heidi M. 2019.</w:t>
      </w:r>
      <w:r>
        <w:t xml:space="preserve"> </w:t>
      </w:r>
      <w:r>
        <w:t xml:space="preserve">“Hyperspectral Measurements, Parameterizations, and Atmospheric Correction of Whitecaps and Foam from Visible to Shortwave Infrared for Ocean Color Remote Sensing.”</w:t>
      </w:r>
      <w:r>
        <w:t xml:space="preserve"> </w:t>
      </w:r>
      <w:r>
        <w:rPr>
          <w:i/>
          <w:iCs/>
        </w:rPr>
        <w:t xml:space="preserve">Frontiers in Earth Science</w:t>
      </w:r>
      <w:r>
        <w:t xml:space="preserve"> </w:t>
      </w:r>
      <w:r>
        <w:t xml:space="preserve">Volume 7 - 2019.</w:t>
      </w:r>
      <w:r>
        <w:t xml:space="preserve"> </w:t>
      </w:r>
      <w:hyperlink r:id="rId282">
        <w:r>
          <w:rPr>
            <w:rStyle w:val="Hyperlink"/>
          </w:rPr>
          <w:t xml:space="preserve">https://doi.org/10.3389/feart.2019.00014</w:t>
        </w:r>
      </w:hyperlink>
      <w:r>
        <w:t xml:space="preserve">.</w:t>
      </w:r>
    </w:p>
    <w:bookmarkEnd w:id="283"/>
    <w:bookmarkStart w:id="285" w:name="ref-dierssen2021"/>
    <w:p>
      <w:pPr>
        <w:pStyle w:val="Literaturverzeichnis"/>
      </w:pPr>
      <w:r>
        <w:t xml:space="preserve">———. 2021.</w:t>
      </w:r>
      <w:r>
        <w:t xml:space="preserve"> </w:t>
      </w:r>
      <w:r>
        <w:t xml:space="preserve">“Corrigendum: Hyperspectral Measurements, Parameterizations, and Atmospheric Correction of Whitecaps and Foam from Visible to Shortwave Infrared for Ocean Color Remote Sensing.”</w:t>
      </w:r>
      <w:r>
        <w:t xml:space="preserve"> </w:t>
      </w:r>
      <w:r>
        <w:rPr>
          <w:i/>
          <w:iCs/>
        </w:rPr>
        <w:t xml:space="preserve">Frontiers in Earth Science</w:t>
      </w:r>
      <w:r>
        <w:t xml:space="preserve"> </w:t>
      </w:r>
      <w:r>
        <w:t xml:space="preserve">Volume 9 - 2021.</w:t>
      </w:r>
      <w:r>
        <w:t xml:space="preserve"> </w:t>
      </w:r>
      <w:hyperlink r:id="rId284">
        <w:r>
          <w:rPr>
            <w:rStyle w:val="Hyperlink"/>
          </w:rPr>
          <w:t xml:space="preserve">https://doi.org/10.3389/feart.2021.683136</w:t>
        </w:r>
      </w:hyperlink>
      <w:r>
        <w:t xml:space="preserve">.</w:t>
      </w:r>
    </w:p>
    <w:bookmarkEnd w:id="285"/>
    <w:bookmarkStart w:id="287" w:name="ref-dworak2021"/>
    <w:p>
      <w:pPr>
        <w:pStyle w:val="Literaturverzeichnis"/>
      </w:pPr>
      <w:r>
        <w:t xml:space="preserve">Dworak, Richard, Yinghui Liu, Jeffrey Key, and Walter N. Meier. 2021.</w:t>
      </w:r>
      <w:r>
        <w:t xml:space="preserve"> </w:t>
      </w:r>
      <w:r>
        <w:t xml:space="preserve">“A Blended Sea Ice Concentration Product from AMSR2 and VIIRS.”</w:t>
      </w:r>
      <w:r>
        <w:t xml:space="preserve"> </w:t>
      </w:r>
      <w:r>
        <w:rPr>
          <w:i/>
          <w:iCs/>
        </w:rPr>
        <w:t xml:space="preserve">Remote Sensing</w:t>
      </w:r>
      <w:r>
        <w:t xml:space="preserve"> </w:t>
      </w:r>
      <w:r>
        <w:t xml:space="preserve">13 (15).</w:t>
      </w:r>
      <w:r>
        <w:t xml:space="preserve"> </w:t>
      </w:r>
      <w:hyperlink r:id="rId286">
        <w:r>
          <w:rPr>
            <w:rStyle w:val="Hyperlink"/>
          </w:rPr>
          <w:t xml:space="preserve">https://doi.org/10.3390/rs13152982</w:t>
        </w:r>
      </w:hyperlink>
      <w:r>
        <w:t xml:space="preserve">.</w:t>
      </w:r>
    </w:p>
    <w:bookmarkEnd w:id="287"/>
    <w:bookmarkStart w:id="289" w:name="ref-eumetsat2021"/>
    <w:p>
      <w:pPr>
        <w:pStyle w:val="Literaturverzeichnis"/>
      </w:pPr>
      <w:r>
        <w:t xml:space="preserve">EUMETSAT. 2021.</w:t>
      </w:r>
      <w:r>
        <w:t xml:space="preserve"> </w:t>
      </w:r>
      <w:r>
        <w:t xml:space="preserve">“</w:t>
      </w:r>
      <w:r>
        <w:t xml:space="preserve">Sentinel-3 OLCI L2 Report for Baseline Collection OL_L2M_003</w:t>
      </w:r>
      <w:r>
        <w:t xml:space="preserve">.”</w:t>
      </w:r>
      <w:r>
        <w:t xml:space="preserve"> </w:t>
      </w:r>
      <w:r>
        <w:t xml:space="preserve">EUM/RSP/REP/21/1211386. Eumetsat-Allee 1, D-64295 Darmstadt, Germany: EUMETSAT.</w:t>
      </w:r>
      <w:r>
        <w:t xml:space="preserve"> </w:t>
      </w:r>
      <w:hyperlink r:id="rId288">
        <w:r>
          <w:rPr>
            <w:rStyle w:val="Hyperlink"/>
          </w:rPr>
          <w:t xml:space="preserve">https://user.eumetsat.int/s3/eup-strapi-media/Sentinel_3_OLCI_L2_report_for_baseline_collection_OL_L2_M_003_2_B_c8bbc6d986.pdf</w:t>
        </w:r>
      </w:hyperlink>
      <w:r>
        <w:t xml:space="preserve">.</w:t>
      </w:r>
    </w:p>
    <w:bookmarkEnd w:id="289"/>
    <w:bookmarkStart w:id="291" w:name="ref-fan2016"/>
    <w:p>
      <w:pPr>
        <w:pStyle w:val="Literaturverzeichnis"/>
      </w:pPr>
      <w:r>
        <w:t xml:space="preserve">Fan, Yongzhen, Wei Li, Kenneth J. Voss, Charles K. Gatebe, and Knut Stamnes. 2016.</w:t>
      </w:r>
      <w:r>
        <w:t xml:space="preserve"> </w:t>
      </w:r>
      <w:r>
        <w:t xml:space="preserve">“Neural Network Method to Correct Bidirectional Effects in Water-Leaving Radiance.”</w:t>
      </w:r>
      <w:r>
        <w:t xml:space="preserve"> </w:t>
      </w:r>
      <w:r>
        <w:rPr>
          <w:i/>
          <w:iCs/>
        </w:rPr>
        <w:t xml:space="preserve">Appl. Opt.</w:t>
      </w:r>
      <w:r>
        <w:t xml:space="preserve"> </w:t>
      </w:r>
      <w:r>
        <w:t xml:space="preserve">55 (1): 10–21.</w:t>
      </w:r>
      <w:r>
        <w:t xml:space="preserve"> </w:t>
      </w:r>
      <w:hyperlink r:id="rId290">
        <w:r>
          <w:rPr>
            <w:rStyle w:val="Hyperlink"/>
          </w:rPr>
          <w:t xml:space="preserve">https://doi.org/10.1364/AO.55.000010</w:t>
        </w:r>
      </w:hyperlink>
      <w:r>
        <w:t xml:space="preserve">.</w:t>
      </w:r>
    </w:p>
    <w:bookmarkEnd w:id="291"/>
    <w:bookmarkStart w:id="293" w:name="ref-fink2014"/>
    <w:p>
      <w:pPr>
        <w:pStyle w:val="Literaturverzeichnis"/>
      </w:pPr>
      <w:r>
        <w:t xml:space="preserve">Fink, Colin M. 2014.</w:t>
      </w:r>
      <w:r>
        <w:t xml:space="preserve"> </w:t>
      </w:r>
      <w:r>
        <w:t xml:space="preserve">“Glint Avoidance and Removal in the Maritime Environment.”</w:t>
      </w:r>
      <w:r>
        <w:t xml:space="preserve"> </w:t>
      </w:r>
      <w:r>
        <w:t xml:space="preserve">Master's Thesis, Rochester, NY: Rochester Institute of Technology.</w:t>
      </w:r>
      <w:r>
        <w:t xml:space="preserve"> </w:t>
      </w:r>
      <w:hyperlink r:id="rId292">
        <w:r>
          <w:rPr>
            <w:rStyle w:val="Hyperlink"/>
          </w:rPr>
          <w:t xml:space="preserve">https://repository.rit.edu/theses/8301</w:t>
        </w:r>
      </w:hyperlink>
      <w:r>
        <w:t xml:space="preserve">.</w:t>
      </w:r>
    </w:p>
    <w:bookmarkEnd w:id="293"/>
    <w:bookmarkStart w:id="295" w:name="ref-foga2017"/>
    <w:p>
      <w:pPr>
        <w:pStyle w:val="Literaturverzeichnis"/>
      </w:pPr>
      <w:r>
        <w:t xml:space="preserve">Foga, Steve, Pat L. Scaramuzza, Song Guo, Zhe Zhu, Ronald D. Dilley, Tim Beckmann, Gail L. Schmidt, John L. Dwyer, M. Joseph Hughes, and Brady Laue. 2017.</w:t>
      </w:r>
      <w:r>
        <w:t xml:space="preserve"> </w:t>
      </w:r>
      <w:r>
        <w:t xml:space="preserve">“Cloud Detection Algorithm Comparison and Validation for Operational Landsat Data Products.”</w:t>
      </w:r>
      <w:r>
        <w:t xml:space="preserve"> </w:t>
      </w:r>
      <w:r>
        <w:rPr>
          <w:i/>
          <w:iCs/>
        </w:rPr>
        <w:t xml:space="preserve">Remote Sensing of Environment</w:t>
      </w:r>
      <w:r>
        <w:t xml:space="preserve"> </w:t>
      </w:r>
      <w:r>
        <w:t xml:space="preserve">194: 379–90. https://doi.org/</w:t>
      </w:r>
      <w:hyperlink r:id="rId294">
        <w:r>
          <w:rPr>
            <w:rStyle w:val="Hyperlink"/>
          </w:rPr>
          <w:t xml:space="preserve">https://doi.org/10.1016/j.rse.2017.03.026</w:t>
        </w:r>
      </w:hyperlink>
      <w:r>
        <w:t xml:space="preserve">.</w:t>
      </w:r>
    </w:p>
    <w:bookmarkEnd w:id="295"/>
    <w:bookmarkStart w:id="297" w:name="ref-frouin2019"/>
    <w:p>
      <w:pPr>
        <w:pStyle w:val="Literaturverzeichnis"/>
      </w:pPr>
      <w:r>
        <w:t xml:space="preserve">Frouin, Robert J., Bryan A. Franz, Amir Ibrahim, Kirk Knobelspiesse, Ziauddin Ahmad, Brian Cairns, Jacek Chowdhary, et al. 2019.</w:t>
      </w:r>
      <w:r>
        <w:t xml:space="preserve"> </w:t>
      </w:r>
      <w:r>
        <w:t xml:space="preserve">“Atmospheric Correction of Satellite Ocean-Color Imagery During the PACE Era.”</w:t>
      </w:r>
      <w:r>
        <w:t xml:space="preserve"> </w:t>
      </w:r>
      <w:r>
        <w:rPr>
          <w:i/>
          <w:iCs/>
        </w:rPr>
        <w:t xml:space="preserve">Frontiers in Earth Science</w:t>
      </w:r>
      <w:r>
        <w:t xml:space="preserve"> </w:t>
      </w:r>
      <w:r>
        <w:t xml:space="preserve">Volume 7 - 2019.</w:t>
      </w:r>
      <w:r>
        <w:t xml:space="preserve"> </w:t>
      </w:r>
      <w:hyperlink r:id="rId296">
        <w:r>
          <w:rPr>
            <w:rStyle w:val="Hyperlink"/>
          </w:rPr>
          <w:t xml:space="preserve">https://doi.org/10.3389/feart.2019.00145</w:t>
        </w:r>
      </w:hyperlink>
      <w:r>
        <w:t xml:space="preserve">.</w:t>
      </w:r>
    </w:p>
    <w:bookmarkEnd w:id="297"/>
    <w:bookmarkStart w:id="299" w:name="ref-gebco2024"/>
    <w:p>
      <w:pPr>
        <w:pStyle w:val="Literaturverzeichnis"/>
      </w:pPr>
      <w:r>
        <w:t xml:space="preserve">GEBCO Bathymetric Compilation Group 2024. 2024.</w:t>
      </w:r>
      <w:r>
        <w:t xml:space="preserve"> </w:t>
      </w:r>
      <w:r>
        <w:t xml:space="preserve">“The GEBCO_2024 Grid - a Continuous Terrain Model of the Global Oceans and Land.”</w:t>
      </w:r>
      <w:r>
        <w:t xml:space="preserve"> </w:t>
      </w:r>
      <w:r>
        <w:t xml:space="preserve">GEBCO Compilation Group.</w:t>
      </w:r>
      <w:r>
        <w:t xml:space="preserve"> </w:t>
      </w:r>
      <w:hyperlink r:id="rId298">
        <w:r>
          <w:rPr>
            <w:rStyle w:val="Hyperlink"/>
          </w:rPr>
          <w:t xml:space="preserve">https://doi.org/10.5285/1c44ce99-0a0d-5f4f-e063-7086abc0ea0f</w:t>
        </w:r>
      </w:hyperlink>
      <w:r>
        <w:t xml:space="preserve">.</w:t>
      </w:r>
    </w:p>
    <w:bookmarkEnd w:id="299"/>
    <w:bookmarkStart w:id="300" w:name="ref-gege2016"/>
    <w:p>
      <w:pPr>
        <w:pStyle w:val="Literaturverzeichnis"/>
      </w:pPr>
      <w:r>
        <w:t xml:space="preserve">Gege, Peter, and Philipp Groetsch. 2016.</w:t>
      </w:r>
      <w:r>
        <w:t xml:space="preserve"> </w:t>
      </w:r>
      <w:r>
        <w:t xml:space="preserve">“A Spectral Model for Correcting Sunglint and Skyglint.”</w:t>
      </w:r>
      <w:r>
        <w:t xml:space="preserve"> </w:t>
      </w:r>
      <w:r>
        <w:t xml:space="preserve">In.</w:t>
      </w:r>
    </w:p>
    <w:bookmarkEnd w:id="300"/>
    <w:bookmarkStart w:id="302" w:name="ref-gendall2023"/>
    <w:p>
      <w:pPr>
        <w:pStyle w:val="Literaturverzeichnis"/>
      </w:pPr>
      <w:r>
        <w:t xml:space="preserve">Gendall, Lianna, Sarah B. Schroeder, Peter Wills, Margot Hessing-Lewis, and Maycira Costa. 2023.</w:t>
      </w:r>
      <w:r>
        <w:t xml:space="preserve"> </w:t>
      </w:r>
      <w:r>
        <w:t xml:space="preserve">“A Multi-Satellite Mapping Framework for Floating Kelp Forests.”</w:t>
      </w:r>
      <w:r>
        <w:t xml:space="preserve"> </w:t>
      </w:r>
      <w:r>
        <w:rPr>
          <w:i/>
          <w:iCs/>
        </w:rPr>
        <w:t xml:space="preserve">Remote Sensing</w:t>
      </w:r>
      <w:r>
        <w:t xml:space="preserve"> </w:t>
      </w:r>
      <w:r>
        <w:t xml:space="preserve">15 (5).</w:t>
      </w:r>
      <w:r>
        <w:t xml:space="preserve"> </w:t>
      </w:r>
      <w:hyperlink r:id="rId301">
        <w:r>
          <w:rPr>
            <w:rStyle w:val="Hyperlink"/>
          </w:rPr>
          <w:t xml:space="preserve">https://doi.org/10.3390/rs15051276</w:t>
        </w:r>
      </w:hyperlink>
      <w:r>
        <w:t xml:space="preserve">.</w:t>
      </w:r>
    </w:p>
    <w:bookmarkEnd w:id="302"/>
    <w:bookmarkStart w:id="304" w:name="ref-gossn2019"/>
    <w:p>
      <w:pPr>
        <w:pStyle w:val="Literaturverzeichnis"/>
      </w:pPr>
      <w:r>
        <w:t xml:space="preserve">Gossn, Juan Ignacio, Kevin George Ruddick, and Ana Inés Dogliotti. 2019.</w:t>
      </w:r>
      <w:r>
        <w:t xml:space="preserve"> </w:t>
      </w:r>
      <w:r>
        <w:t xml:space="preserve">“Atmospheric Correction of OLCI Imagery over Extremely Turbid Waters Based on the Red, NIR and 1016 Nm Bands and a New Baseline Residual Technique.”</w:t>
      </w:r>
      <w:r>
        <w:t xml:space="preserve"> </w:t>
      </w:r>
      <w:r>
        <w:rPr>
          <w:i/>
          <w:iCs/>
        </w:rPr>
        <w:t xml:space="preserve">Remote Sensing</w:t>
      </w:r>
      <w:r>
        <w:t xml:space="preserve"> </w:t>
      </w:r>
      <w:r>
        <w:t xml:space="preserve">11 (3).</w:t>
      </w:r>
      <w:r>
        <w:t xml:space="preserve"> </w:t>
      </w:r>
      <w:hyperlink r:id="rId303">
        <w:r>
          <w:rPr>
            <w:rStyle w:val="Hyperlink"/>
          </w:rPr>
          <w:t xml:space="preserve">https://doi.org/10.3390/rs11030220</w:t>
        </w:r>
      </w:hyperlink>
      <w:r>
        <w:t xml:space="preserve">.</w:t>
      </w:r>
    </w:p>
    <w:bookmarkEnd w:id="304"/>
    <w:bookmarkStart w:id="306" w:name="ref-groetsch2020"/>
    <w:p>
      <w:pPr>
        <w:pStyle w:val="Literaturverzeichnis"/>
      </w:pPr>
      <w:r>
        <w:t xml:space="preserve">Groetsch, Philipp M. M., Robert Foster, and Alexander Gilerson. 2020.</w:t>
      </w:r>
      <w:r>
        <w:t xml:space="preserve"> </w:t>
      </w:r>
      <w:r>
        <w:t xml:space="preserve">“Exploring the Limits for Sky and Sun Glint Correction of Hyperspectral Above-Surface Reflectance Observations.”</w:t>
      </w:r>
      <w:r>
        <w:t xml:space="preserve"> </w:t>
      </w:r>
      <w:r>
        <w:rPr>
          <w:i/>
          <w:iCs/>
        </w:rPr>
        <w:t xml:space="preserve">Appl. Opt.</w:t>
      </w:r>
      <w:r>
        <w:t xml:space="preserve"> </w:t>
      </w:r>
      <w:r>
        <w:t xml:space="preserve">59 (9): 2942–54.</w:t>
      </w:r>
      <w:r>
        <w:t xml:space="preserve"> </w:t>
      </w:r>
      <w:hyperlink r:id="rId305">
        <w:r>
          <w:rPr>
            <w:rStyle w:val="Hyperlink"/>
          </w:rPr>
          <w:t xml:space="preserve">https://doi.org/10.1364/AO.385853</w:t>
        </w:r>
      </w:hyperlink>
      <w:r>
        <w:t xml:space="preserve">.</w:t>
      </w:r>
    </w:p>
    <w:bookmarkEnd w:id="306"/>
    <w:bookmarkStart w:id="308" w:name="ref-guth2021"/>
    <w:p>
      <w:pPr>
        <w:pStyle w:val="Literaturverzeichnis"/>
      </w:pPr>
      <w:r>
        <w:t xml:space="preserve">Guth, Peter L., Adriaan Van Niekerk, Carlos H. Grohmann, Jan-Peter Muller, Laurence Hawker, Igor V. Florinsky, Dean Gesch, et al. 2021.</w:t>
      </w:r>
      <w:r>
        <w:t xml:space="preserve"> </w:t>
      </w:r>
      <w:r>
        <w:t xml:space="preserve">“Digital Elevation Models: Terminology and Definitions.”</w:t>
      </w:r>
      <w:r>
        <w:t xml:space="preserve"> </w:t>
      </w:r>
      <w:r>
        <w:rPr>
          <w:i/>
          <w:iCs/>
        </w:rPr>
        <w:t xml:space="preserve">Remote Sensing</w:t>
      </w:r>
      <w:r>
        <w:t xml:space="preserve"> </w:t>
      </w:r>
      <w:r>
        <w:t xml:space="preserve">13 (18).</w:t>
      </w:r>
      <w:r>
        <w:t xml:space="preserve"> </w:t>
      </w:r>
      <w:hyperlink r:id="rId307">
        <w:r>
          <w:rPr>
            <w:rStyle w:val="Hyperlink"/>
          </w:rPr>
          <w:t xml:space="preserve">https://doi.org/10.3390/rs13183581</w:t>
        </w:r>
      </w:hyperlink>
      <w:r>
        <w:t xml:space="preserve">.</w:t>
      </w:r>
    </w:p>
    <w:bookmarkEnd w:id="308"/>
    <w:bookmarkStart w:id="310" w:name="ref-harmel2018"/>
    <w:p>
      <w:pPr>
        <w:pStyle w:val="Literaturverzeichnis"/>
      </w:pPr>
      <w:r>
        <w:t xml:space="preserve">Harmel, Tristan, Malik Chami, Thierry Tormos, Nathalie Reynaud, and Pierre-Alain Danis. 2018.</w:t>
      </w:r>
      <w:r>
        <w:t xml:space="preserve"> </w:t>
      </w:r>
      <w:r>
        <w:t xml:space="preserve">“Sunglint Correction of the Multi-Spectral Instrument (MSI)-SENTINEL-2 Imagery over Inland and Sea Waters from SWIR Bands.”</w:t>
      </w:r>
      <w:r>
        <w:t xml:space="preserve"> </w:t>
      </w:r>
      <w:r>
        <w:rPr>
          <w:i/>
          <w:iCs/>
        </w:rPr>
        <w:t xml:space="preserve">Remote Sensing of Environment</w:t>
      </w:r>
      <w:r>
        <w:t xml:space="preserve"> </w:t>
      </w:r>
      <w:r>
        <w:t xml:space="preserve">204: 308–21. https://doi.org/</w:t>
      </w:r>
      <w:hyperlink r:id="rId309">
        <w:r>
          <w:rPr>
            <w:rStyle w:val="Hyperlink"/>
          </w:rPr>
          <w:t xml:space="preserve">https://doi.org/10.1016/j.rse.2017.10.022</w:t>
        </w:r>
      </w:hyperlink>
      <w:r>
        <w:t xml:space="preserve">.</w:t>
      </w:r>
    </w:p>
    <w:bookmarkEnd w:id="310"/>
    <w:bookmarkStart w:id="312" w:name="ref-hartmann2022"/>
    <w:p>
      <w:pPr>
        <w:pStyle w:val="Literaturverzeichnis"/>
      </w:pPr>
      <w:r>
        <w:t xml:space="preserve">Hartmann, Knut, Mona Reithmeier, Kim Knauer, Julian Wenzel, Christoph Kleih, and Thomas Heege. 2022.</w:t>
      </w:r>
      <w:r>
        <w:t xml:space="preserve"> </w:t>
      </w:r>
      <w:r>
        <w:t xml:space="preserve">“SATELLITE-DERIVED BATHYMETRY ONLINE.”</w:t>
      </w:r>
      <w:r>
        <w:t xml:space="preserve"> </w:t>
      </w:r>
      <w:r>
        <w:rPr>
          <w:i/>
          <w:iCs/>
        </w:rPr>
        <w:t xml:space="preserve">The International Hydrographic Review</w:t>
      </w:r>
      <w:r>
        <w:t xml:space="preserve"> </w:t>
      </w:r>
      <w:r>
        <w:t xml:space="preserve">28: 53–75. https://doi.org/</w:t>
      </w:r>
      <w:hyperlink r:id="rId311">
        <w:r>
          <w:rPr>
            <w:rStyle w:val="Hyperlink"/>
          </w:rPr>
          <w:t xml:space="preserve">https://doi.org/10.58440/ihr-28-a14</w:t>
        </w:r>
        <w:r>
          <w:rPr>
            <w:rStyle w:val="Hyperlink"/>
          </w:rPr>
          <w:t xml:space="preserve"> </w:t>
        </w:r>
      </w:hyperlink>
      <w:r>
        <w:t xml:space="preserve">.</w:t>
      </w:r>
    </w:p>
    <w:bookmarkEnd w:id="312"/>
    <w:bookmarkStart w:id="314" w:name="ref-heinila2018"/>
    <w:p>
      <w:pPr>
        <w:pStyle w:val="Literaturverzeichnis"/>
      </w:pPr>
      <w:r>
        <w:t xml:space="preserve">Heinilä, Kirsikka and Metsämäki, Sari and Mattila, Olli-Pekka. 2018.</w:t>
      </w:r>
      <w:r>
        <w:t xml:space="preserve"> </w:t>
      </w:r>
      <w:r>
        <w:t xml:space="preserve">“Lake Ice Extent (LIE), Collection 250m Baltic Sea Region, Version 1.0.1.”</w:t>
      </w:r>
      <w:r>
        <w:t xml:space="preserve"> </w:t>
      </w:r>
      <w:r>
        <w:t xml:space="preserve">Copernicus Global Land Service.</w:t>
      </w:r>
      <w:r>
        <w:t xml:space="preserve"> </w:t>
      </w:r>
      <w:hyperlink r:id="rId313">
        <w:r>
          <w:rPr>
            <w:rStyle w:val="Hyperlink"/>
          </w:rPr>
          <w:t xml:space="preserve">https://land.copernicus.eu/en/technical-library/quality-assessment-report-for-lake-ice-extent-baltic-sea-region-250-m-raster/@@download/file</w:t>
        </w:r>
      </w:hyperlink>
      <w:r>
        <w:t xml:space="preserve">.</w:t>
      </w:r>
    </w:p>
    <w:bookmarkEnd w:id="314"/>
    <w:bookmarkStart w:id="315" w:name="ref-hooker2003"/>
    <w:p>
      <w:pPr>
        <w:pStyle w:val="Literaturverzeichnis"/>
      </w:pPr>
      <w:r>
        <w:t xml:space="preserve">Hooker, Stanford, Elaine Firestone, Frederick Patt, Robert Barnes, Robert Eplee, Robert E, et al. 2003.</w:t>
      </w:r>
      <w:r>
        <w:t xml:space="preserve"> </w:t>
      </w:r>
      <w:r>
        <w:t xml:space="preserve">“Algorithm Updates for the Fourth SeaWiFS Data Reprocessing,”</w:t>
      </w:r>
      <w:r>
        <w:t xml:space="preserve"> </w:t>
      </w:r>
      <w:r>
        <w:t xml:space="preserve">June.</w:t>
      </w:r>
    </w:p>
    <w:bookmarkEnd w:id="315"/>
    <w:bookmarkStart w:id="317" w:name="ref-hu2009"/>
    <w:p>
      <w:pPr>
        <w:pStyle w:val="Literaturverzeichnis"/>
      </w:pPr>
      <w:r>
        <w:t xml:space="preserve">Hu, Chuanmin. 2009.</w:t>
      </w:r>
      <w:r>
        <w:t xml:space="preserve"> </w:t>
      </w:r>
      <w:r>
        <w:t xml:space="preserve">“A Novel Ocean Color Index to Detect Floating Algae in the Global Oceans.”</w:t>
      </w:r>
      <w:r>
        <w:t xml:space="preserve"> </w:t>
      </w:r>
      <w:r>
        <w:rPr>
          <w:i/>
          <w:iCs/>
        </w:rPr>
        <w:t xml:space="preserve">Remote Sensing of Environment</w:t>
      </w:r>
      <w:r>
        <w:t xml:space="preserve"> </w:t>
      </w:r>
      <w:r>
        <w:t xml:space="preserve">113 (10): 2118–29. https://doi.org/</w:t>
      </w:r>
      <w:hyperlink r:id="rId316">
        <w:r>
          <w:rPr>
            <w:rStyle w:val="Hyperlink"/>
          </w:rPr>
          <w:t xml:space="preserve">https://doi.org/10.1016/j.rse.2009.05.012</w:t>
        </w:r>
      </w:hyperlink>
      <w:r>
        <w:t xml:space="preserve">.</w:t>
      </w:r>
    </w:p>
    <w:bookmarkEnd w:id="317"/>
    <w:bookmarkStart w:id="319" w:name="ref-hudson2016"/>
    <w:p>
      <w:pPr>
        <w:pStyle w:val="Literaturverzeichnis"/>
      </w:pPr>
      <w:r>
        <w:t xml:space="preserve">Hudson, Benjamin D., Irina Overeem, and James P. M. Syvitski. 2016.</w:t>
      </w:r>
      <w:r>
        <w:t xml:space="preserve"> </w:t>
      </w:r>
      <w:r>
        <w:t xml:space="preserve">“A Novel Technique to Detect Turbid Water and Mask Clouds in Greenland Fjords.”</w:t>
      </w:r>
      <w:r>
        <w:t xml:space="preserve"> </w:t>
      </w:r>
      <w:r>
        <w:rPr>
          <w:i/>
          <w:iCs/>
        </w:rPr>
        <w:t xml:space="preserve">International Journal of Remote Sensing</w:t>
      </w:r>
      <w:r>
        <w:t xml:space="preserve"> </w:t>
      </w:r>
      <w:r>
        <w:t xml:space="preserve">37 (7): 1730–46.</w:t>
      </w:r>
      <w:r>
        <w:t xml:space="preserve"> </w:t>
      </w:r>
      <w:hyperlink r:id="rId318">
        <w:r>
          <w:rPr>
            <w:rStyle w:val="Hyperlink"/>
          </w:rPr>
          <w:t xml:space="preserve">https://doi.org/10.1080/01431161.2016.1157641</w:t>
        </w:r>
      </w:hyperlink>
      <w:r>
        <w:t xml:space="preserve">.</w:t>
      </w:r>
    </w:p>
    <w:bookmarkEnd w:id="319"/>
    <w:bookmarkStart w:id="321" w:name="ref-iho2024"/>
    <w:p>
      <w:pPr>
        <w:pStyle w:val="Literaturverzeichnis"/>
      </w:pPr>
      <w:r>
        <w:t xml:space="preserve">IHO. 2024.</w:t>
      </w:r>
      <w:r>
        <w:t xml:space="preserve"> </w:t>
      </w:r>
      <w:r>
        <w:t xml:space="preserve">“</w:t>
      </w:r>
      <w:r>
        <w:t xml:space="preserve">Guidance to Satellite-Derived Bathymetry</w:t>
      </w:r>
      <w:r>
        <w:t xml:space="preserve">.”</w:t>
      </w:r>
      <w:r>
        <w:t xml:space="preserve"> </w:t>
      </w:r>
      <w:r>
        <w:t xml:space="preserve">B-13 Edition 1.0.0. International Hydrographic Organization (IHO).</w:t>
      </w:r>
      <w:r>
        <w:t xml:space="preserve"> </w:t>
      </w:r>
      <w:hyperlink r:id="rId320">
        <w:r>
          <w:rPr>
            <w:rStyle w:val="Hyperlink"/>
          </w:rPr>
          <w:t xml:space="preserve">https://iho.int/uploads/user/pubs/bathy/B_13_Ed100_032024.pdf</w:t>
        </w:r>
      </w:hyperlink>
      <w:r>
        <w:t xml:space="preserve">.</w:t>
      </w:r>
    </w:p>
    <w:bookmarkEnd w:id="321"/>
    <w:bookmarkStart w:id="323" w:name="ref-ilori2019"/>
    <w:p>
      <w:pPr>
        <w:pStyle w:val="Literaturverzeichnis"/>
      </w:pPr>
      <w:r>
        <w:t xml:space="preserve">Ilori, Christopher O., Nima Pahlevan, and Anders Knudby. 2019.</w:t>
      </w:r>
      <w:r>
        <w:t xml:space="preserve"> </w:t>
      </w:r>
      <w:r>
        <w:t xml:space="preserve">“Analyzing Performances of Different Atmospheric Correction Techniques for Landsat 8: Application for Coastal Remote Sensing.”</w:t>
      </w:r>
      <w:r>
        <w:t xml:space="preserve"> </w:t>
      </w:r>
      <w:r>
        <w:rPr>
          <w:i/>
          <w:iCs/>
        </w:rPr>
        <w:t xml:space="preserve">Remote Sensing</w:t>
      </w:r>
      <w:r>
        <w:t xml:space="preserve"> </w:t>
      </w:r>
      <w:r>
        <w:t xml:space="preserve">11 (4).</w:t>
      </w:r>
      <w:r>
        <w:t xml:space="preserve"> </w:t>
      </w:r>
      <w:hyperlink r:id="rId322">
        <w:r>
          <w:rPr>
            <w:rStyle w:val="Hyperlink"/>
          </w:rPr>
          <w:t xml:space="preserve">https://doi.org/10.3390/rs11040469</w:t>
        </w:r>
      </w:hyperlink>
      <w:r>
        <w:t xml:space="preserve">.</w:t>
      </w:r>
    </w:p>
    <w:bookmarkEnd w:id="323"/>
    <w:bookmarkStart w:id="324"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324"/>
    <w:bookmarkStart w:id="325" w:name="ref-iso8601_1_2019"/>
    <w:p>
      <w:pPr>
        <w:pStyle w:val="Literaturverzeichnis"/>
      </w:pPr>
      <w:r>
        <w:t xml:space="preserve">———. 2019.</w:t>
      </w:r>
      <w:r>
        <w:t xml:space="preserve"> </w:t>
      </w:r>
      <w:r>
        <w:t xml:space="preserve">“</w:t>
      </w:r>
      <w:r>
        <w:t xml:space="preserve">Date and time — Representations for information interchange — Part 1: Basic rules</w:t>
      </w:r>
      <w:r>
        <w:t xml:space="preserve">.”</w:t>
      </w:r>
      <w:r>
        <w:t xml:space="preserve"> </w:t>
      </w:r>
      <w:r>
        <w:t xml:space="preserve">Standard. Geneva, CH: International Organization for Standardization.</w:t>
      </w:r>
    </w:p>
    <w:bookmarkEnd w:id="325"/>
    <w:bookmarkStart w:id="327" w:name="ref-gum_6_2020"/>
    <w:p>
      <w:pPr>
        <w:pStyle w:val="Literaturverzeichnis"/>
      </w:pPr>
      <w:r>
        <w:t xml:space="preserve">JCGM Working Group 1. 2020.</w:t>
      </w:r>
      <w:r>
        <w:t xml:space="preserve"> </w:t>
      </w:r>
      <w:r>
        <w:t xml:space="preserve">“</w:t>
      </w:r>
      <w:r>
        <w:t xml:space="preserve">G</w:t>
      </w:r>
      <w:r>
        <w:t xml:space="preserve">uide to the Expression of Uncertainty in Measurement — Part 6: Developing and Using Measurement Models.”</w:t>
      </w:r>
      <w:r>
        <w:t xml:space="preserve"> </w:t>
      </w:r>
      <w:r>
        <w:t xml:space="preserve">Norm.</w:t>
      </w:r>
      <w:r>
        <w:t xml:space="preserve"> </w:t>
      </w:r>
      <w:r>
        <w:t xml:space="preserve">Joint Committee for Guides in Metrology</w:t>
      </w:r>
      <w:r>
        <w:t xml:space="preserve">; Joint Committee for Guides in Metrology, JCGM GUM-6:2020.</w:t>
      </w:r>
      <w:r>
        <w:t xml:space="preserve"> </w:t>
      </w:r>
      <w:hyperlink r:id="rId326">
        <w:r>
          <w:rPr>
            <w:rStyle w:val="Hyperlink"/>
          </w:rPr>
          <w:t xml:space="preserve">https://www.bipm.org/documents/20126/2071204/JCGM_GUM_6_2020.pdf</w:t>
        </w:r>
      </w:hyperlink>
      <w:r>
        <w:t xml:space="preserve">.</w:t>
      </w:r>
    </w:p>
    <w:bookmarkEnd w:id="327"/>
    <w:bookmarkStart w:id="329" w:name="ref-jones2019"/>
    <w:p>
      <w:pPr>
        <w:pStyle w:val="Literaturverzeichnis"/>
      </w:pPr>
      <w:r>
        <w:t xml:space="preserve">Jones, John W. 2019.</w:t>
      </w:r>
      <w:r>
        <w:t xml:space="preserve"> </w:t>
      </w:r>
      <w:r>
        <w:t xml:space="preserve">“Improved Automated Detection of Subpixel-Scale Inundation—Revised Dynamic Surface Water Extent (DSWE) Partial Surface Water Tests.”</w:t>
      </w:r>
      <w:r>
        <w:t xml:space="preserve"> </w:t>
      </w:r>
      <w:r>
        <w:rPr>
          <w:i/>
          <w:iCs/>
        </w:rPr>
        <w:t xml:space="preserve">Remote Sensing</w:t>
      </w:r>
      <w:r>
        <w:t xml:space="preserve"> </w:t>
      </w:r>
      <w:r>
        <w:t xml:space="preserve">11 (4).</w:t>
      </w:r>
      <w:r>
        <w:t xml:space="preserve"> </w:t>
      </w:r>
      <w:hyperlink r:id="rId328">
        <w:r>
          <w:rPr>
            <w:rStyle w:val="Hyperlink"/>
          </w:rPr>
          <w:t xml:space="preserve">https://doi.org/10.3390/rs11040374</w:t>
        </w:r>
      </w:hyperlink>
      <w:r>
        <w:t xml:space="preserve">.</w:t>
      </w:r>
    </w:p>
    <w:bookmarkEnd w:id="329"/>
    <w:bookmarkStart w:id="331" w:name="ref-kay2009"/>
    <w:p>
      <w:pPr>
        <w:pStyle w:val="Literaturverzeichnis"/>
      </w:pPr>
      <w:r>
        <w:t xml:space="preserve">Kay, Susan, John D. Hedley, and Samantha Lavender. 2009.</w:t>
      </w:r>
      <w:r>
        <w:t xml:space="preserve"> </w:t>
      </w:r>
      <w:r>
        <w:t xml:space="preserve">“Sun Glint Correction of High and Low Spatial Resolution Images of Aquatic Scenes: A Review of Methods for Visible and Near-Infrared Wavelengths.”</w:t>
      </w:r>
      <w:r>
        <w:t xml:space="preserve"> </w:t>
      </w:r>
      <w:r>
        <w:rPr>
          <w:i/>
          <w:iCs/>
        </w:rPr>
        <w:t xml:space="preserve">Remote Sensing</w:t>
      </w:r>
      <w:r>
        <w:t xml:space="preserve"> </w:t>
      </w:r>
      <w:r>
        <w:t xml:space="preserve">1 (4): 697–730.</w:t>
      </w:r>
      <w:r>
        <w:t xml:space="preserve"> </w:t>
      </w:r>
      <w:hyperlink r:id="rId330">
        <w:r>
          <w:rPr>
            <w:rStyle w:val="Hyperlink"/>
          </w:rPr>
          <w:t xml:space="preserve">https://doi.org/10.3390/rs1040697</w:t>
        </w:r>
      </w:hyperlink>
      <w:r>
        <w:t xml:space="preserve">.</w:t>
      </w:r>
    </w:p>
    <w:bookmarkEnd w:id="331"/>
    <w:bookmarkStart w:id="333" w:name="ref-kay2013"/>
    <w:p>
      <w:pPr>
        <w:pStyle w:val="Literaturverzeichnis"/>
      </w:pPr>
      <w:r>
        <w:t xml:space="preserve">Kay, Susan, John Hedley, and Samantha Lavender. 2013.</w:t>
      </w:r>
      <w:r>
        <w:t xml:space="preserve"> </w:t>
      </w:r>
      <w:r>
        <w:t xml:space="preserve">“Sun Glint Estimation in Marine Satellite Images: A Comparison of Results from Calculation and Radiative Transfer Modeling.”</w:t>
      </w:r>
      <w:r>
        <w:t xml:space="preserve"> </w:t>
      </w:r>
      <w:r>
        <w:rPr>
          <w:i/>
          <w:iCs/>
        </w:rPr>
        <w:t xml:space="preserve">Appl. Opt.</w:t>
      </w:r>
      <w:r>
        <w:t xml:space="preserve"> </w:t>
      </w:r>
      <w:r>
        <w:t xml:space="preserve">52 (23): 5631–39.</w:t>
      </w:r>
      <w:r>
        <w:t xml:space="preserve"> </w:t>
      </w:r>
      <w:hyperlink r:id="rId332">
        <w:r>
          <w:rPr>
            <w:rStyle w:val="Hyperlink"/>
          </w:rPr>
          <w:t xml:space="preserve">https://doi.org/10.1364/AO.52.005631</w:t>
        </w:r>
      </w:hyperlink>
      <w:r>
        <w:t xml:space="preserve">.</w:t>
      </w:r>
    </w:p>
    <w:bookmarkEnd w:id="333"/>
    <w:bookmarkStart w:id="335" w:name="ref-dekeukelaere2018"/>
    <w:p>
      <w:pPr>
        <w:pStyle w:val="Literaturverzeichnis"/>
      </w:pPr>
      <w:r>
        <w:t xml:space="preserve">Keukelaere, L. De, S. Sterckx, S. Adriaensen, E. Knaeps, I. Reusen, C. Giardino, M. Bresciani, et al. 2018.</w:t>
      </w:r>
      <w:r>
        <w:t xml:space="preserve"> </w:t>
      </w:r>
      <w:r>
        <w:t xml:space="preserve">“Atmospheric Correction of Landsat-8/OLI and Sentinel-2/MSI Data Using iCOR Algorithm: Validation for Coastal and Inland Waters.”</w:t>
      </w:r>
      <w:r>
        <w:t xml:space="preserve"> </w:t>
      </w:r>
      <w:r>
        <w:rPr>
          <w:i/>
          <w:iCs/>
        </w:rPr>
        <w:t xml:space="preserve">European Journal of Remote Sensing</w:t>
      </w:r>
      <w:r>
        <w:t xml:space="preserve"> </w:t>
      </w:r>
      <w:r>
        <w:t xml:space="preserve">51 (1): 525–42.</w:t>
      </w:r>
      <w:r>
        <w:t xml:space="preserve"> </w:t>
      </w:r>
      <w:hyperlink r:id="rId334">
        <w:r>
          <w:rPr>
            <w:rStyle w:val="Hyperlink"/>
          </w:rPr>
          <w:t xml:space="preserve">https://doi.org/10.1080/22797254.2018.1457937</w:t>
        </w:r>
      </w:hyperlink>
      <w:r>
        <w:t xml:space="preserve">.</w:t>
      </w:r>
    </w:p>
    <w:bookmarkEnd w:id="335"/>
    <w:bookmarkStart w:id="337" w:name="ref-khazaei2022"/>
    <w:p>
      <w:pPr>
        <w:pStyle w:val="Literaturverzeichnis"/>
      </w:pPr>
      <w:r>
        <w:t xml:space="preserve">Khazaei, Bahram, Laura Read, Matthew Casali, Kevin Sampson, and David Yates. 2022.</w:t>
      </w:r>
      <w:r>
        <w:t xml:space="preserve"> </w:t>
      </w:r>
      <w:r>
        <w:t xml:space="preserve">“GLOBathy, the Global Lakes Bathymetry Dataset.”</w:t>
      </w:r>
      <w:r>
        <w:t xml:space="preserve"> </w:t>
      </w:r>
      <w:r>
        <w:rPr>
          <w:i/>
          <w:iCs/>
        </w:rPr>
        <w:t xml:space="preserve">Scientific Data</w:t>
      </w:r>
      <w:r>
        <w:t xml:space="preserve"> </w:t>
      </w:r>
      <w:r>
        <w:t xml:space="preserve">9 (February).</w:t>
      </w:r>
      <w:r>
        <w:t xml:space="preserve"> </w:t>
      </w:r>
      <w:hyperlink r:id="rId336">
        <w:r>
          <w:rPr>
            <w:rStyle w:val="Hyperlink"/>
          </w:rPr>
          <w:t xml:space="preserve">https://doi.org/10.1038/s41597-022-01132-9</w:t>
        </w:r>
      </w:hyperlink>
      <w:r>
        <w:t xml:space="preserve">.</w:t>
      </w:r>
    </w:p>
    <w:bookmarkEnd w:id="337"/>
    <w:bookmarkStart w:id="339" w:name="ref-kim2024"/>
    <w:p>
      <w:pPr>
        <w:pStyle w:val="Literaturverzeichnis"/>
      </w:pPr>
      <w:r>
        <w:t xml:space="preserve">Kim, Minsu, Jeff Danielson, Curt Storlazzi, and Seonkyung Park. 2024.</w:t>
      </w:r>
      <w:r>
        <w:t xml:space="preserve"> </w:t>
      </w:r>
      <w:r>
        <w:t xml:space="preserve">“Physics-Based Satellite-Derived Bathymetry (SDB) Using Landsat OLI Images.”</w:t>
      </w:r>
      <w:r>
        <w:t xml:space="preserve"> </w:t>
      </w:r>
      <w:r>
        <w:rPr>
          <w:i/>
          <w:iCs/>
        </w:rPr>
        <w:t xml:space="preserve">Remote Sensing</w:t>
      </w:r>
      <w:r>
        <w:t xml:space="preserve"> </w:t>
      </w:r>
      <w:r>
        <w:t xml:space="preserve">16 (5).</w:t>
      </w:r>
      <w:r>
        <w:t xml:space="preserve"> </w:t>
      </w:r>
      <w:hyperlink r:id="rId338">
        <w:r>
          <w:rPr>
            <w:rStyle w:val="Hyperlink"/>
          </w:rPr>
          <w:t xml:space="preserve">https://doi.org/10.3390/rs16050843</w:t>
        </w:r>
      </w:hyperlink>
      <w:r>
        <w:t xml:space="preserve">.</w:t>
      </w:r>
    </w:p>
    <w:bookmarkEnd w:id="339"/>
    <w:bookmarkStart w:id="341" w:name="ref-kiselev2015"/>
    <w:p>
      <w:pPr>
        <w:pStyle w:val="Literaturverzeichnis"/>
      </w:pPr>
      <w:r>
        <w:t xml:space="preserve">Kiselev, Viacheslav, Barbara Bulgarelli, and Thomas Heege. 2015.</w:t>
      </w:r>
      <w:r>
        <w:t xml:space="preserve"> </w:t>
      </w:r>
      <w:r>
        <w:t xml:space="preserve">“Sensor Independent Adjacency Correction Algorithm for Coastal and Inland Water Systems.”</w:t>
      </w:r>
      <w:r>
        <w:t xml:space="preserve"> </w:t>
      </w:r>
      <w:r>
        <w:rPr>
          <w:i/>
          <w:iCs/>
        </w:rPr>
        <w:t xml:space="preserve">Remote Sensing of Environment</w:t>
      </w:r>
      <w:r>
        <w:t xml:space="preserve"> </w:t>
      </w:r>
      <w:r>
        <w:t xml:space="preserve">157: 85–95. https://doi.org/</w:t>
      </w:r>
      <w:hyperlink r:id="rId340">
        <w:r>
          <w:rPr>
            <w:rStyle w:val="Hyperlink"/>
          </w:rPr>
          <w:t xml:space="preserve">https://doi.org/10.1016/j.rse.2014.07.025</w:t>
        </w:r>
      </w:hyperlink>
      <w:r>
        <w:t xml:space="preserve">.</w:t>
      </w:r>
    </w:p>
    <w:bookmarkEnd w:id="341"/>
    <w:bookmarkStart w:id="343" w:name="ref-koepke1984"/>
    <w:p>
      <w:pPr>
        <w:pStyle w:val="Literaturverzeichnis"/>
      </w:pPr>
      <w:r>
        <w:t xml:space="preserve">Koepke, Peter. 1984.</w:t>
      </w:r>
      <w:r>
        <w:t xml:space="preserve"> </w:t>
      </w:r>
      <w:r>
        <w:t xml:space="preserve">“Effective Reflectance of Oceanic Whitecaps.”</w:t>
      </w:r>
      <w:r>
        <w:t xml:space="preserve"> </w:t>
      </w:r>
      <w:r>
        <w:rPr>
          <w:i/>
          <w:iCs/>
        </w:rPr>
        <w:t xml:space="preserve">Appl. Opt.</w:t>
      </w:r>
      <w:r>
        <w:t xml:space="preserve"> </w:t>
      </w:r>
      <w:r>
        <w:t xml:space="preserve">23 (11): 1816–24.</w:t>
      </w:r>
      <w:r>
        <w:t xml:space="preserve"> </w:t>
      </w:r>
      <w:hyperlink r:id="rId342">
        <w:r>
          <w:rPr>
            <w:rStyle w:val="Hyperlink"/>
          </w:rPr>
          <w:t xml:space="preserve">https://doi.org/10.1364/AO.23.001816</w:t>
        </w:r>
      </w:hyperlink>
      <w:r>
        <w:t xml:space="preserve">.</w:t>
      </w:r>
    </w:p>
    <w:bookmarkEnd w:id="343"/>
    <w:bookmarkStart w:id="345" w:name="ref-kutser2020"/>
    <w:p>
      <w:pPr>
        <w:pStyle w:val="Literaturverzeichnis"/>
      </w:pPr>
      <w:r>
        <w:t xml:space="preserve">Kutser, Tiit, John Hedley, Claudia Giardino, Chris Roelfsema, and Vittorio E. Brando. 2020.</w:t>
      </w:r>
      <w:r>
        <w:t xml:space="preserve"> </w:t>
      </w:r>
      <w:r>
        <w:t xml:space="preserve">“Remote Sensing of Shallow Waters – a 50 Year Retrospective and Future Directions.”</w:t>
      </w:r>
      <w:r>
        <w:t xml:space="preserve"> </w:t>
      </w:r>
      <w:r>
        <w:rPr>
          <w:i/>
          <w:iCs/>
        </w:rPr>
        <w:t xml:space="preserve">Remote Sensing of Environment</w:t>
      </w:r>
      <w:r>
        <w:t xml:space="preserve"> </w:t>
      </w:r>
      <w:r>
        <w:t xml:space="preserve">240: 111619. https://doi.org/</w:t>
      </w:r>
      <w:hyperlink r:id="rId344">
        <w:r>
          <w:rPr>
            <w:rStyle w:val="Hyperlink"/>
          </w:rPr>
          <w:t xml:space="preserve">https://doi.org/10.1016/j.rse.2019.111619</w:t>
        </w:r>
      </w:hyperlink>
      <w:r>
        <w:t xml:space="preserve">.</w:t>
      </w:r>
    </w:p>
    <w:bookmarkEnd w:id="345"/>
    <w:bookmarkStart w:id="347" w:name="ref-kutser2009"/>
    <w:p>
      <w:pPr>
        <w:pStyle w:val="Literaturverzeichnis"/>
      </w:pPr>
      <w:r>
        <w:t xml:space="preserve">Kutser, Tiit, Ele Vahtmäe, and Jaan Praks. 2009.</w:t>
      </w:r>
      <w:r>
        <w:t xml:space="preserve"> </w:t>
      </w:r>
      <w:r>
        <w:t xml:space="preserve">“A Sun Glint Correction Method for Hyperspectral Imagery Containing Areas with Non-Negligible Water Leaving NIR Signal.”</w:t>
      </w:r>
      <w:r>
        <w:t xml:space="preserve"> </w:t>
      </w:r>
      <w:r>
        <w:rPr>
          <w:i/>
          <w:iCs/>
        </w:rPr>
        <w:t xml:space="preserve">Remote Sensing of Environment</w:t>
      </w:r>
      <w:r>
        <w:t xml:space="preserve"> </w:t>
      </w:r>
      <w:r>
        <w:t xml:space="preserve">113 (10): 2267–74. https://doi.org/</w:t>
      </w:r>
      <w:hyperlink r:id="rId346">
        <w:r>
          <w:rPr>
            <w:rStyle w:val="Hyperlink"/>
          </w:rPr>
          <w:t xml:space="preserve">https://doi.org/10.1016/j.rse.2009.06.016</w:t>
        </w:r>
      </w:hyperlink>
      <w:r>
        <w:t xml:space="preserve">.</w:t>
      </w:r>
    </w:p>
    <w:bookmarkEnd w:id="347"/>
    <w:bookmarkStart w:id="349" w:name="ref-lavender2010whitecaps"/>
    <w:p>
      <w:pPr>
        <w:pStyle w:val="Literaturverzeichnis"/>
      </w:pPr>
      <w:r>
        <w:t xml:space="preserve">Lavender, S. 2010.</w:t>
      </w:r>
      <w:r>
        <w:t xml:space="preserve"> </w:t>
      </w:r>
      <w:r>
        <w:t xml:space="preserve">“</w:t>
      </w:r>
      <w:r>
        <w:t xml:space="preserve">SENTINEL-3 Optical Products and Algorithm Definition – OLCI Level 2 ATBD: White Caps Correction</w:t>
      </w:r>
      <w:r>
        <w:t xml:space="preserve">.”</w:t>
      </w:r>
      <w:r>
        <w:t xml:space="preserve"> </w:t>
      </w:r>
      <w:r>
        <w:t xml:space="preserve">Algorithm Theoretical Basis Document S3-L2-SD-03-C06-ARG-ATBD. ARGANS.</w:t>
      </w:r>
      <w:r>
        <w:t xml:space="preserve"> </w:t>
      </w:r>
      <w:hyperlink r:id="rId348">
        <w:r>
          <w:rPr>
            <w:rStyle w:val="Hyperlink"/>
          </w:rPr>
          <w:t xml:space="preserve">https://user.eumetsat.int/s3/eup-strapi-media/pdf_s3_l2_atbd_white_caps_corr_ac4301c8fe.pdf</w:t>
        </w:r>
      </w:hyperlink>
      <w:r>
        <w:t xml:space="preserve">.</w:t>
      </w:r>
    </w:p>
    <w:bookmarkEnd w:id="349"/>
    <w:bookmarkStart w:id="351" w:name="ref-lavender2010glint"/>
    <w:p>
      <w:pPr>
        <w:pStyle w:val="Literaturverzeichnis"/>
      </w:pPr>
      <w:r>
        <w:t xml:space="preserve">Lavender, S., and S. Kay. 2010.</w:t>
      </w:r>
      <w:r>
        <w:t xml:space="preserve"> </w:t>
      </w:r>
      <w:r>
        <w:t xml:space="preserve">“</w:t>
      </w:r>
      <w:r>
        <w:t xml:space="preserve">SENTINEL-3 OPTICAL PRODUCTS AND ALGORITHM DEFINITION – OLCI Level 2 ATBD – Glint Correction</w:t>
      </w:r>
      <w:r>
        <w:t xml:space="preserve">.”</w:t>
      </w:r>
      <w:r>
        <w:t xml:space="preserve"> </w:t>
      </w:r>
      <w:r>
        <w:t xml:space="preserve">Algorithm Theoretical Basis Document S3-L2-SD-03-C09-ARG-ATBD. ARGANS.</w:t>
      </w:r>
      <w:r>
        <w:t xml:space="preserve"> </w:t>
      </w:r>
      <w:hyperlink r:id="rId350">
        <w:r>
          <w:rPr>
            <w:rStyle w:val="Hyperlink"/>
          </w:rPr>
          <w:t xml:space="preserve">https://user.eumetsat.int/s3/eup-strapi-media/pdf_s3_l2_atbd_glint_corr_6d7b828eec.pdf</w:t>
        </w:r>
      </w:hyperlink>
      <w:r>
        <w:t xml:space="preserve">.</w:t>
      </w:r>
    </w:p>
    <w:bookmarkEnd w:id="351"/>
    <w:bookmarkStart w:id="353" w:name="ref-lee2011"/>
    <w:p>
      <w:pPr>
        <w:pStyle w:val="Literaturverzeichnis"/>
      </w:pPr>
      <w:r>
        <w:t xml:space="preserve">Lee, Zhong Ping, Keping Du, Kenneth J. Voss, Giuseppe Zibordi, Bertrand Lubac, Robert Arnone, and Alan Weidemann. 2011.</w:t>
      </w:r>
      <w:r>
        <w:t xml:space="preserve"> </w:t>
      </w:r>
      <w:r>
        <w:t xml:space="preserve">“An Inherent-Optical-Property-Centered Approach to Correct the Angular Effects in Water-Leaving Radiance.”</w:t>
      </w:r>
      <w:r>
        <w:t xml:space="preserve"> </w:t>
      </w:r>
      <w:r>
        <w:rPr>
          <w:i/>
          <w:iCs/>
        </w:rPr>
        <w:t xml:space="preserve">Appl. Opt.</w:t>
      </w:r>
      <w:r>
        <w:t xml:space="preserve"> </w:t>
      </w:r>
      <w:r>
        <w:t xml:space="preserve">50 (19): 3155–67.</w:t>
      </w:r>
      <w:r>
        <w:t xml:space="preserve"> </w:t>
      </w:r>
      <w:hyperlink r:id="rId352">
        <w:r>
          <w:rPr>
            <w:rStyle w:val="Hyperlink"/>
          </w:rPr>
          <w:t xml:space="preserve">https://doi.org/10.1364/AO.50.003155</w:t>
        </w:r>
      </w:hyperlink>
      <w:r>
        <w:t xml:space="preserve">.</w:t>
      </w:r>
    </w:p>
    <w:bookmarkEnd w:id="353"/>
    <w:bookmarkStart w:id="354" w:name="ref-liu2019"/>
    <w:p>
      <w:pPr>
        <w:pStyle w:val="Literaturverzeichnis"/>
      </w:pPr>
      <w:r>
        <w:t xml:space="preserve">Liu, Yinghui, and Jeffrey Key. 2015.</w:t>
      </w:r>
      <w:r>
        <w:t xml:space="preserve"> </w:t>
      </w:r>
      <w:r>
        <w:t xml:space="preserve">“Ice Surface Temperature, Ice Concentration, and Ice Cover Algorithm Theoretical Basic Document.”</w:t>
      </w:r>
    </w:p>
    <w:bookmarkEnd w:id="354"/>
    <w:bookmarkStart w:id="356" w:name="ref-liu2016"/>
    <w:p>
      <w:pPr>
        <w:pStyle w:val="Literaturverzeichnis"/>
      </w:pPr>
      <w:r>
        <w:t xml:space="preserve">Liu, Yinghui, Jeffrey Key, and Robert Mahoney. 2016.</w:t>
      </w:r>
      <w:r>
        <w:t xml:space="preserve"> </w:t>
      </w:r>
      <w:r>
        <w:t xml:space="preserve">“Sea and Freshwater Ice Concentration from VIIRS on Suomi NPP and the Future JPSS Satellites.”</w:t>
      </w:r>
      <w:r>
        <w:t xml:space="preserve"> </w:t>
      </w:r>
      <w:r>
        <w:rPr>
          <w:i/>
          <w:iCs/>
        </w:rPr>
        <w:t xml:space="preserve">Remote Sensing</w:t>
      </w:r>
      <w:r>
        <w:t xml:space="preserve"> </w:t>
      </w:r>
      <w:r>
        <w:t xml:space="preserve">8 (6).</w:t>
      </w:r>
      <w:r>
        <w:t xml:space="preserve"> </w:t>
      </w:r>
      <w:hyperlink r:id="rId355">
        <w:r>
          <w:rPr>
            <w:rStyle w:val="Hyperlink"/>
          </w:rPr>
          <w:t xml:space="preserve">https://doi.org/10.3390/rs8060523</w:t>
        </w:r>
      </w:hyperlink>
      <w:r>
        <w:t xml:space="preserve">.</w:t>
      </w:r>
    </w:p>
    <w:bookmarkEnd w:id="356"/>
    <w:bookmarkStart w:id="358" w:name="ref-matthews2012"/>
    <w:p>
      <w:pPr>
        <w:pStyle w:val="Literaturverzeichnis"/>
      </w:pPr>
      <w:r>
        <w:t xml:space="preserve">Matthews, Mark William, Stewart Bernard, and Lisl Robertson. 2012.</w:t>
      </w:r>
      <w:r>
        <w:t xml:space="preserve"> </w:t>
      </w:r>
      <w:r>
        <w:t xml:space="preserve">“An Algorithm for Detecting Trophic Status (Chlorophyll-a), Cyanobacterial-Dominance, Surface Scums and Floating Vegetation in Inland and Coastal Waters.”</w:t>
      </w:r>
      <w:r>
        <w:t xml:space="preserve"> </w:t>
      </w:r>
      <w:r>
        <w:rPr>
          <w:i/>
          <w:iCs/>
        </w:rPr>
        <w:t xml:space="preserve">Remote Sensing of Environment</w:t>
      </w:r>
      <w:r>
        <w:t xml:space="preserve"> </w:t>
      </w:r>
      <w:r>
        <w:t xml:space="preserve">124: 637–52. https://doi.org/</w:t>
      </w:r>
      <w:hyperlink r:id="rId357">
        <w:r>
          <w:rPr>
            <w:rStyle w:val="Hyperlink"/>
          </w:rPr>
          <w:t xml:space="preserve">https://doi.org/10.1016/j.rse.2012.05.032</w:t>
        </w:r>
      </w:hyperlink>
      <w:r>
        <w:t xml:space="preserve">.</w:t>
      </w:r>
    </w:p>
    <w:bookmarkEnd w:id="358"/>
    <w:bookmarkStart w:id="360" w:name="ref-matthews2015"/>
    <w:p>
      <w:pPr>
        <w:pStyle w:val="Literaturverzeichnis"/>
      </w:pPr>
      <w:r>
        <w:t xml:space="preserve">Matthews, Mark William, and Daniel Odermatt. 2015.</w:t>
      </w:r>
      <w:r>
        <w:t xml:space="preserve"> </w:t>
      </w:r>
      <w:r>
        <w:t xml:space="preserve">“Improved Algorithm for Routine Monitoring of Cyanobacteria and Eutrophication in Inland and Near-Coastal Waters.”</w:t>
      </w:r>
      <w:r>
        <w:t xml:space="preserve"> </w:t>
      </w:r>
      <w:r>
        <w:rPr>
          <w:i/>
          <w:iCs/>
        </w:rPr>
        <w:t xml:space="preserve">Remote Sensing of Environment</w:t>
      </w:r>
      <w:r>
        <w:t xml:space="preserve"> </w:t>
      </w:r>
      <w:r>
        <w:t xml:space="preserve">156: 374–82. https://doi.org/</w:t>
      </w:r>
      <w:hyperlink r:id="rId359">
        <w:r>
          <w:rPr>
            <w:rStyle w:val="Hyperlink"/>
          </w:rPr>
          <w:t xml:space="preserve">https://doi.org/10.1016/j.rse.2014.10.010</w:t>
        </w:r>
      </w:hyperlink>
      <w:r>
        <w:t xml:space="preserve">.</w:t>
      </w:r>
    </w:p>
    <w:bookmarkEnd w:id="360"/>
    <w:bookmarkStart w:id="362" w:name="ref-mikelsons2021"/>
    <w:p>
      <w:pPr>
        <w:pStyle w:val="Literaturverzeichnis"/>
      </w:pPr>
      <w:r>
        <w:t xml:space="preserve">Mikelsons, Karlis, Menghua Wang, Xiao-Long Wang, and Lide Jiang. 2021.</w:t>
      </w:r>
      <w:r>
        <w:t xml:space="preserve"> </w:t>
      </w:r>
      <w:r>
        <w:t xml:space="preserve">“Global Land Mask for Satellite Ocean Color Remote Sensing.”</w:t>
      </w:r>
      <w:r>
        <w:t xml:space="preserve"> </w:t>
      </w:r>
      <w:r>
        <w:rPr>
          <w:i/>
          <w:iCs/>
        </w:rPr>
        <w:t xml:space="preserve">Remote Sensing of Environment</w:t>
      </w:r>
      <w:r>
        <w:t xml:space="preserve"> </w:t>
      </w:r>
      <w:r>
        <w:t xml:space="preserve">257: 112356. https://doi.org/</w:t>
      </w:r>
      <w:hyperlink r:id="rId361">
        <w:r>
          <w:rPr>
            <w:rStyle w:val="Hyperlink"/>
          </w:rPr>
          <w:t xml:space="preserve">https://doi.org/10.1016/j.rse.2021.112356</w:t>
        </w:r>
      </w:hyperlink>
      <w:r>
        <w:t xml:space="preserve">.</w:t>
      </w:r>
    </w:p>
    <w:bookmarkEnd w:id="362"/>
    <w:bookmarkStart w:id="364" w:name="ref-mobley2016"/>
    <w:p>
      <w:pPr>
        <w:pStyle w:val="Literaturverzeichnis"/>
      </w:pPr>
      <w:r>
        <w:t xml:space="preserve">Mobley, Curtis, Jeremy Werdell, Bryan Franz, Ziauddin Ahmad, and Sean Bailey. 2016.</w:t>
      </w:r>
      <w:r>
        <w:t xml:space="preserve"> </w:t>
      </w:r>
      <w:r>
        <w:t xml:space="preserve">“Atmospheric Correction for Satellite Ocean Color Radiometry.”</w:t>
      </w:r>
      <w:r>
        <w:t xml:space="preserve"> </w:t>
      </w:r>
      <w:hyperlink r:id="rId363">
        <w:r>
          <w:rPr>
            <w:rStyle w:val="Hyperlink"/>
          </w:rPr>
          <w:t xml:space="preserve">https://doi.org/10.13140/RG.2.2.23016.78081</w:t>
        </w:r>
      </w:hyperlink>
      <w:r>
        <w:t xml:space="preserve">.</w:t>
      </w:r>
    </w:p>
    <w:bookmarkEnd w:id="364"/>
    <w:bookmarkStart w:id="366" w:name="ref-moore1999"/>
    <w:p>
      <w:pPr>
        <w:pStyle w:val="Literaturverzeichnis"/>
      </w:pPr>
      <w:r>
        <w:t xml:space="preserve">Moore, G. F., J. Aiken, and S. J. Lavender. 1999.</w:t>
      </w:r>
      <w:r>
        <w:t xml:space="preserve"> </w:t>
      </w:r>
      <w:r>
        <w:t xml:space="preserve">“The Atmospheric Correction of Water Colour and the Quantitative Retrieval of Suspended Particulate Matter in Case II Waters: Application to MERIS.”</w:t>
      </w:r>
      <w:r>
        <w:t xml:space="preserve"> </w:t>
      </w:r>
      <w:r>
        <w:rPr>
          <w:i/>
          <w:iCs/>
        </w:rPr>
        <w:t xml:space="preserve">International Journal of Remote Sensing</w:t>
      </w:r>
      <w:r>
        <w:t xml:space="preserve"> </w:t>
      </w:r>
      <w:r>
        <w:t xml:space="preserve">20 (9): 1713–33.</w:t>
      </w:r>
      <w:r>
        <w:t xml:space="preserve"> </w:t>
      </w:r>
      <w:hyperlink r:id="rId365">
        <w:r>
          <w:rPr>
            <w:rStyle w:val="Hyperlink"/>
          </w:rPr>
          <w:t xml:space="preserve">https://doi.org/10.1080/014311699212434</w:t>
        </w:r>
      </w:hyperlink>
      <w:r>
        <w:t xml:space="preserve">.</w:t>
      </w:r>
    </w:p>
    <w:bookmarkEnd w:id="366"/>
    <w:bookmarkStart w:id="368" w:name="ref-moore2000"/>
    <w:p>
      <w:pPr>
        <w:pStyle w:val="Literaturverzeichnis"/>
      </w:pPr>
      <w:r>
        <w:t xml:space="preserve">Moore, Karl D., Kenneth J. Voss, and Howard R. Gordon. 2000.</w:t>
      </w:r>
      <w:r>
        <w:t xml:space="preserve"> </w:t>
      </w:r>
      <w:r>
        <w:t xml:space="preserve">“Spectral Reflectance of Whitecaps: Their Contribution to Water-Leaving Radiance.”</w:t>
      </w:r>
      <w:r>
        <w:t xml:space="preserve"> </w:t>
      </w:r>
      <w:r>
        <w:rPr>
          <w:i/>
          <w:iCs/>
        </w:rPr>
        <w:t xml:space="preserve">Journal of Geophysical Research: Oceans</w:t>
      </w:r>
      <w:r>
        <w:t xml:space="preserve"> </w:t>
      </w:r>
      <w:r>
        <w:t xml:space="preserve">105 (C3): 6493–99. https://doi.org/</w:t>
      </w:r>
      <w:hyperlink r:id="rId367">
        <w:r>
          <w:rPr>
            <w:rStyle w:val="Hyperlink"/>
          </w:rPr>
          <w:t xml:space="preserve">https://doi.org/10.1029/1999JC900334</w:t>
        </w:r>
      </w:hyperlink>
      <w:r>
        <w:t xml:space="preserve">.</w:t>
      </w:r>
    </w:p>
    <w:bookmarkEnd w:id="368"/>
    <w:bookmarkStart w:id="370" w:name="ref-morel2002"/>
    <w:p>
      <w:pPr>
        <w:pStyle w:val="Literaturverzeichnis"/>
      </w:pPr>
      <w:r>
        <w:t xml:space="preserve">Morel, André, David Antoine, and Bernard Gentili. 2002.</w:t>
      </w:r>
      <w:r>
        <w:t xml:space="preserve"> </w:t>
      </w:r>
      <w:r>
        <w:t xml:space="preserve">“Bidirectional Reflectance of Oceanic Waters: Accounting for Raman Emission and Varying Particle Scattering Phase Function.”</w:t>
      </w:r>
      <w:r>
        <w:t xml:space="preserve"> </w:t>
      </w:r>
      <w:r>
        <w:rPr>
          <w:i/>
          <w:iCs/>
        </w:rPr>
        <w:t xml:space="preserve">Appl. Opt.</w:t>
      </w:r>
      <w:r>
        <w:t xml:space="preserve"> </w:t>
      </w:r>
      <w:r>
        <w:t xml:space="preserve">41 (30): 6289–6306.</w:t>
      </w:r>
      <w:r>
        <w:t xml:space="preserve"> </w:t>
      </w:r>
      <w:hyperlink r:id="rId369">
        <w:r>
          <w:rPr>
            <w:rStyle w:val="Hyperlink"/>
          </w:rPr>
          <w:t xml:space="preserve">https://doi.org/10.1364/AO.41.006289</w:t>
        </w:r>
      </w:hyperlink>
      <w:r>
        <w:t xml:space="preserve">.</w:t>
      </w:r>
    </w:p>
    <w:bookmarkEnd w:id="370"/>
    <w:bookmarkStart w:id="372" w:name="ref-morel2006"/>
    <w:p>
      <w:pPr>
        <w:pStyle w:val="Literaturverzeichnis"/>
      </w:pPr>
      <w:r>
        <w:t xml:space="preserve">Morel, Andre, and Simon Bélanger. 2006.</w:t>
      </w:r>
      <w:r>
        <w:t xml:space="preserve"> </w:t>
      </w:r>
      <w:r>
        <w:t xml:space="preserve">“Improved Detection of Turbid Waters from Ocean Color Sensors Information.”</w:t>
      </w:r>
      <w:r>
        <w:t xml:space="preserve"> </w:t>
      </w:r>
      <w:r>
        <w:rPr>
          <w:i/>
          <w:iCs/>
        </w:rPr>
        <w:t xml:space="preserve">Remote Sensing of Environment</w:t>
      </w:r>
      <w:r>
        <w:t xml:space="preserve"> </w:t>
      </w:r>
      <w:r>
        <w:t xml:space="preserve">102 (3): 237–49. https://doi.org/</w:t>
      </w:r>
      <w:hyperlink r:id="rId371">
        <w:r>
          <w:rPr>
            <w:rStyle w:val="Hyperlink"/>
          </w:rPr>
          <w:t xml:space="preserve">https://doi.org/10.1016/j.rse.2006.01.022</w:t>
        </w:r>
      </w:hyperlink>
      <w:r>
        <w:t xml:space="preserve">.</w:t>
      </w:r>
    </w:p>
    <w:bookmarkEnd w:id="372"/>
    <w:bookmarkStart w:id="374" w:name="ref-morel2008"/>
    <w:p>
      <w:pPr>
        <w:pStyle w:val="Literaturverzeichnis"/>
      </w:pPr>
      <w:r>
        <w:t xml:space="preserve">Morel, André, and Bernard Gentili. 2008.</w:t>
      </w:r>
      <w:r>
        <w:t xml:space="preserve"> </w:t>
      </w:r>
      <w:r>
        <w:t xml:space="preserve">“Practical Application of the</w:t>
      </w:r>
      <w:r>
        <w:t xml:space="preserve"> </w:t>
      </w:r>
      <w:r>
        <w:t xml:space="preserve">‘Turbid Water’</w:t>
      </w:r>
      <w:r>
        <w:t xml:space="preserve"> </w:t>
      </w:r>
      <w:r>
        <w:t xml:space="preserve">Flag in Ocean Color Imagery: Interference with Sun-Glint Contaminated Pixels in Open Ocean.”</w:t>
      </w:r>
      <w:r>
        <w:t xml:space="preserve"> </w:t>
      </w:r>
      <w:r>
        <w:rPr>
          <w:i/>
          <w:iCs/>
        </w:rPr>
        <w:t xml:space="preserve">Remote Sensing of Environment</w:t>
      </w:r>
      <w:r>
        <w:t xml:space="preserve"> </w:t>
      </w:r>
      <w:r>
        <w:t xml:space="preserve">112 (3): 934–38. https://doi.org/</w:t>
      </w:r>
      <w:hyperlink r:id="rId373">
        <w:r>
          <w:rPr>
            <w:rStyle w:val="Hyperlink"/>
          </w:rPr>
          <w:t xml:space="preserve">https://doi.org/10.1016/j.rse.2007.07.009</w:t>
        </w:r>
      </w:hyperlink>
      <w:r>
        <w:t xml:space="preserve">.</w:t>
      </w:r>
    </w:p>
    <w:bookmarkEnd w:id="374"/>
    <w:bookmarkStart w:id="376" w:name="ref-pahlevan2021"/>
    <w:p>
      <w:pPr>
        <w:pStyle w:val="Literaturverzeichnis"/>
      </w:pPr>
      <w:r>
        <w:t xml:space="preserve">Pahlevan, Nima, Antoine Mangin, Sundarabalan V. Balasubramanian, Brandon Smith, Krista Alikas, Kohei Arai, Claudio Barbosa, et al. 2021.</w:t>
      </w:r>
      <w:r>
        <w:t xml:space="preserve"> </w:t>
      </w:r>
      <w:r>
        <w:t xml:space="preserve">“ACIX-Aqua: A Global Assessment of Atmospheric Correction Methods for Landsat-8 and Sentinel-2 over Lakes, Rivers, and Coastal Waters.”</w:t>
      </w:r>
      <w:r>
        <w:t xml:space="preserve"> </w:t>
      </w:r>
      <w:r>
        <w:rPr>
          <w:i/>
          <w:iCs/>
        </w:rPr>
        <w:t xml:space="preserve">Remote Sensing of Environment</w:t>
      </w:r>
      <w:r>
        <w:t xml:space="preserve"> </w:t>
      </w:r>
      <w:r>
        <w:t xml:space="preserve">258: 112366. https://doi.org/</w:t>
      </w:r>
      <w:hyperlink r:id="rId375">
        <w:r>
          <w:rPr>
            <w:rStyle w:val="Hyperlink"/>
          </w:rPr>
          <w:t xml:space="preserve">https://doi.org/10.1016/j.rse.2021.112366</w:t>
        </w:r>
      </w:hyperlink>
      <w:r>
        <w:t xml:space="preserve">.</w:t>
      </w:r>
    </w:p>
    <w:bookmarkEnd w:id="376"/>
    <w:bookmarkStart w:id="378" w:name="ref-pahlevan2017"/>
    <w:p>
      <w:pPr>
        <w:pStyle w:val="Literaturverzeichnis"/>
      </w:pPr>
      <w:r>
        <w:t xml:space="preserve">Pahlevan, Nima, John R. Schott, Bryan A. Franz, Giuseppe Zibordi, Brian Markham, Sean Bailey, Crystal B. Schaaf, Michael Ondrusek, Steven Greb, and Christopher M. Strait. 2017.</w:t>
      </w:r>
      <w:r>
        <w:t xml:space="preserve"> </w:t>
      </w:r>
      <w:r>
        <w:t xml:space="preserve">“Landsat 8 Remote Sensing Reflectance (Rrs) Products: Evaluations, Intercomparisons, and Enhancements.”</w:t>
      </w:r>
      <w:r>
        <w:t xml:space="preserve"> </w:t>
      </w:r>
      <w:r>
        <w:rPr>
          <w:i/>
          <w:iCs/>
        </w:rPr>
        <w:t xml:space="preserve">Remote Sensing of Environment</w:t>
      </w:r>
      <w:r>
        <w:t xml:space="preserve"> </w:t>
      </w:r>
      <w:r>
        <w:t xml:space="preserve">190: 289–301. https://doi.org/</w:t>
      </w:r>
      <w:hyperlink r:id="rId377">
        <w:r>
          <w:rPr>
            <w:rStyle w:val="Hyperlink"/>
          </w:rPr>
          <w:t xml:space="preserve">https://doi.org/10.1016/j.rse.2016.12.030</w:t>
        </w:r>
      </w:hyperlink>
      <w:r>
        <w:t xml:space="preserve">.</w:t>
      </w:r>
    </w:p>
    <w:bookmarkEnd w:id="378"/>
    <w:bookmarkStart w:id="380" w:name="ref-pan2025"/>
    <w:p>
      <w:pPr>
        <w:pStyle w:val="Literaturverzeichnis"/>
      </w:pPr>
      <w:r>
        <w:t xml:space="preserve">Pan, Yanqun, and Simon Bélanger. 2025.</w:t>
      </w:r>
      <w:r>
        <w:t xml:space="preserve"> </w:t>
      </w:r>
      <w:r>
        <w:t xml:space="preserve">“Genetic Algorithm for Atmospheric Correction (GAAC) of Water Bodies Impacted by Adjacency Effects.”</w:t>
      </w:r>
      <w:r>
        <w:t xml:space="preserve"> </w:t>
      </w:r>
      <w:r>
        <w:rPr>
          <w:i/>
          <w:iCs/>
        </w:rPr>
        <w:t xml:space="preserve">Remote Sensing of Environment</w:t>
      </w:r>
      <w:r>
        <w:t xml:space="preserve"> </w:t>
      </w:r>
      <w:r>
        <w:t xml:space="preserve">317: 114508. https://doi.org/</w:t>
      </w:r>
      <w:hyperlink r:id="rId379">
        <w:r>
          <w:rPr>
            <w:rStyle w:val="Hyperlink"/>
          </w:rPr>
          <w:t xml:space="preserve">https://doi.org/10.1016/j.rse.2024.114508</w:t>
        </w:r>
      </w:hyperlink>
      <w:r>
        <w:t xml:space="preserve">.</w:t>
      </w:r>
    </w:p>
    <w:bookmarkEnd w:id="380"/>
    <w:bookmarkStart w:id="382" w:name="ref-park2005"/>
    <w:p>
      <w:pPr>
        <w:pStyle w:val="Literaturverzeichnis"/>
      </w:pPr>
      <w:r>
        <w:t xml:space="preserve">Park, Young-Je, and Kevin Ruddick. 2005.</w:t>
      </w:r>
      <w:r>
        <w:t xml:space="preserve"> </w:t>
      </w:r>
      <w:r>
        <w:t xml:space="preserve">“Model of Remote-Sensing Reflectance Including Bidirectional Effects for Case 1 and Case 2 Waters.”</w:t>
      </w:r>
      <w:r>
        <w:t xml:space="preserve"> </w:t>
      </w:r>
      <w:r>
        <w:rPr>
          <w:i/>
          <w:iCs/>
        </w:rPr>
        <w:t xml:space="preserve">Appl. Opt.</w:t>
      </w:r>
      <w:r>
        <w:t xml:space="preserve"> </w:t>
      </w:r>
      <w:r>
        <w:t xml:space="preserve">44 (7): 1236–49.</w:t>
      </w:r>
      <w:r>
        <w:t xml:space="preserve"> </w:t>
      </w:r>
      <w:hyperlink r:id="rId381">
        <w:r>
          <w:rPr>
            <w:rStyle w:val="Hyperlink"/>
          </w:rPr>
          <w:t xml:space="preserve">https://doi.org/10.1364/AO.44.001236</w:t>
        </w:r>
      </w:hyperlink>
      <w:r>
        <w:t xml:space="preserve">.</w:t>
      </w:r>
    </w:p>
    <w:bookmarkEnd w:id="382"/>
    <w:bookmarkStart w:id="384" w:name="ref-pekel2016"/>
    <w:p>
      <w:pPr>
        <w:pStyle w:val="Literaturverzeichnis"/>
      </w:pPr>
      <w:r>
        <w:t xml:space="preserve">Pekel, J.-F, Andrew Cottam, Noel Gorelick, and Alan Belward. 2016.</w:t>
      </w:r>
      <w:r>
        <w:t xml:space="preserve"> </w:t>
      </w:r>
      <w:r>
        <w:t xml:space="preserve">“High-Resolution Mapping of Global Surface Water and Its Long-Term Changes.”</w:t>
      </w:r>
      <w:r>
        <w:t xml:space="preserve"> </w:t>
      </w:r>
      <w:r>
        <w:rPr>
          <w:i/>
          <w:iCs/>
        </w:rPr>
        <w:t xml:space="preserve">Nature</w:t>
      </w:r>
      <w:r>
        <w:t xml:space="preserve"> </w:t>
      </w:r>
      <w:r>
        <w:t xml:space="preserve">540 (December).</w:t>
      </w:r>
      <w:r>
        <w:t xml:space="preserve"> </w:t>
      </w:r>
      <w:hyperlink r:id="rId383">
        <w:r>
          <w:rPr>
            <w:rStyle w:val="Hyperlink"/>
          </w:rPr>
          <w:t xml:space="preserve">https://doi.org/10.1038/nature20584</w:t>
        </w:r>
      </w:hyperlink>
      <w:r>
        <w:t xml:space="preserve">.</w:t>
      </w:r>
    </w:p>
    <w:bookmarkEnd w:id="384"/>
    <w:bookmarkStart w:id="386" w:name="ref-reusen2023"/>
    <w:p>
      <w:pPr>
        <w:pStyle w:val="Literaturverzeichnis"/>
      </w:pPr>
      <w:r>
        <w:t xml:space="preserve">Reusen, Ils, Liesbeth De Keukelaere, Sindy Sterckx, Stefan Simis, Claudia Giardino, Carmen Cillero Castro, and Tiit Kutser. 2023.</w:t>
      </w:r>
      <w:r>
        <w:t xml:space="preserve"> </w:t>
      </w:r>
      <w:r>
        <w:t xml:space="preserve">“Atmospheric Corrections.”</w:t>
      </w:r>
      <w:r>
        <w:t xml:space="preserve"> </w:t>
      </w:r>
      <w:r>
        <w:t xml:space="preserve">Zenodo.</w:t>
      </w:r>
      <w:r>
        <w:t xml:space="preserve"> </w:t>
      </w:r>
      <w:hyperlink r:id="rId385">
        <w:r>
          <w:rPr>
            <w:rStyle w:val="Hyperlink"/>
          </w:rPr>
          <w:t xml:space="preserve">https://doi.org/10.5281/zenodo.10357236</w:t>
        </w:r>
      </w:hyperlink>
      <w:r>
        <w:t xml:space="preserve">.</w:t>
      </w:r>
    </w:p>
    <w:bookmarkEnd w:id="386"/>
    <w:bookmarkStart w:id="388" w:name="ref-richardson2024"/>
    <w:p>
      <w:pPr>
        <w:pStyle w:val="Literaturverzeichnis"/>
      </w:pPr>
      <w:r>
        <w:t xml:space="preserve">Richardson, Galen, Neve Foreman, Anders Knudby, Yulun Wu, and Yiwen Lin. 2024.</w:t>
      </w:r>
      <w:r>
        <w:t xml:space="preserve"> </w:t>
      </w:r>
      <w:r>
        <w:t xml:space="preserve">“Global Deep Learning Model for Delineation of Optically Shallow and Optically Deep Water in Sentinel-2 Imagery.”</w:t>
      </w:r>
      <w:r>
        <w:t xml:space="preserve"> </w:t>
      </w:r>
      <w:r>
        <w:rPr>
          <w:i/>
          <w:iCs/>
        </w:rPr>
        <w:t xml:space="preserve">Remote Sensing of Environment</w:t>
      </w:r>
      <w:r>
        <w:t xml:space="preserve"> </w:t>
      </w:r>
      <w:r>
        <w:t xml:space="preserve">311: 114302. https://doi.org/</w:t>
      </w:r>
      <w:hyperlink r:id="rId387">
        <w:r>
          <w:rPr>
            <w:rStyle w:val="Hyperlink"/>
          </w:rPr>
          <w:t xml:space="preserve">https://doi.org/10.1016/j.rse.2024.114302</w:t>
        </w:r>
      </w:hyperlink>
      <w:r>
        <w:t xml:space="preserve">.</w:t>
      </w:r>
    </w:p>
    <w:bookmarkEnd w:id="388"/>
    <w:bookmarkStart w:id="389" w:name="ref-robinson2003"/>
    <w:p>
      <w:pPr>
        <w:pStyle w:val="Literaturverzeichnis"/>
      </w:pPr>
      <w:r>
        <w:t xml:space="preserve">Robinson, Wayne, Bryan Franz, Frederick Patt, Sean Bailey, and Jeremy Werdell. 2003.</w:t>
      </w:r>
      <w:r>
        <w:t xml:space="preserve"> </w:t>
      </w:r>
      <w:r>
        <w:t xml:space="preserve">“Masks and Flags Updates.”</w:t>
      </w:r>
      <w:r>
        <w:t xml:space="preserve"> </w:t>
      </w:r>
      <w:r>
        <w:rPr>
          <w:i/>
          <w:iCs/>
        </w:rPr>
        <w:t xml:space="preserve">NASA Technical Memorandum - SeaWIFS Postlaunch Technical Report Series</w:t>
      </w:r>
      <w:r>
        <w:t xml:space="preserve">, May, 34–40.</w:t>
      </w:r>
    </w:p>
    <w:bookmarkEnd w:id="389"/>
    <w:bookmarkStart w:id="391" w:name="ref-sei2015"/>
    <w:p>
      <w:pPr>
        <w:pStyle w:val="Literaturverzeichnis"/>
      </w:pPr>
      <w:r>
        <w:t xml:space="preserve">Sei, Alain. 2015.</w:t>
      </w:r>
      <w:r>
        <w:t xml:space="preserve"> </w:t>
      </w:r>
      <w:r>
        <w:t xml:space="preserve">“Efficient Correction of Adjacency Effects for High-Resolution Imagery: Integral Equations, Analytic Continuation, and Pad&amp;#xE9; Approximants.”</w:t>
      </w:r>
      <w:r>
        <w:t xml:space="preserve"> </w:t>
      </w:r>
      <w:r>
        <w:rPr>
          <w:i/>
          <w:iCs/>
        </w:rPr>
        <w:t xml:space="preserve">Appl. Opt.</w:t>
      </w:r>
      <w:r>
        <w:t xml:space="preserve"> </w:t>
      </w:r>
      <w:r>
        <w:t xml:space="preserve">54 (12): 3748–58.</w:t>
      </w:r>
      <w:r>
        <w:t xml:space="preserve"> </w:t>
      </w:r>
      <w:hyperlink r:id="rId390">
        <w:r>
          <w:rPr>
            <w:rStyle w:val="Hyperlink"/>
          </w:rPr>
          <w:t xml:space="preserve">https://doi.org/10.1364/AO.54.003748</w:t>
        </w:r>
      </w:hyperlink>
      <w:r>
        <w:t xml:space="preserve">.</w:t>
      </w:r>
    </w:p>
    <w:bookmarkEnd w:id="391"/>
    <w:bookmarkStart w:id="393" w:name="ref-shi2007"/>
    <w:p>
      <w:pPr>
        <w:pStyle w:val="Literaturverzeichnis"/>
      </w:pPr>
      <w:r>
        <w:t xml:space="preserve">Shi, Wei, and Menghua Wang. 2007.</w:t>
      </w:r>
      <w:r>
        <w:t xml:space="preserve"> </w:t>
      </w:r>
      <w:r>
        <w:t xml:space="preserve">“Detection of Turbid Waters and Absorbing Aerosols for the MODIS Ocean Color Data Processing.”</w:t>
      </w:r>
      <w:r>
        <w:t xml:space="preserve"> </w:t>
      </w:r>
      <w:r>
        <w:rPr>
          <w:i/>
          <w:iCs/>
        </w:rPr>
        <w:t xml:space="preserve">Remote Sensing of Environment</w:t>
      </w:r>
      <w:r>
        <w:t xml:space="preserve"> </w:t>
      </w:r>
      <w:r>
        <w:t xml:space="preserve">110 (2): 149–61. https://doi.org/</w:t>
      </w:r>
      <w:hyperlink r:id="rId392">
        <w:r>
          <w:rPr>
            <w:rStyle w:val="Hyperlink"/>
          </w:rPr>
          <w:t xml:space="preserve">https://doi.org/10.1016/j.rse.2007.02.013</w:t>
        </w:r>
      </w:hyperlink>
      <w:r>
        <w:t xml:space="preserve">.</w:t>
      </w:r>
    </w:p>
    <w:bookmarkEnd w:id="393"/>
    <w:bookmarkStart w:id="395" w:name="ref-skakun2022"/>
    <w:p>
      <w:pPr>
        <w:pStyle w:val="Literaturverzeichnis"/>
      </w:pPr>
      <w:r>
        <w:t xml:space="preserve">Skakun, Sergii, Jan Wevers, Carsten Brockmann, Georgia Doxani, Matej Aleksandrov, Matej Batič, David Frantz, et al. 2022.</w:t>
      </w:r>
      <w:r>
        <w:t xml:space="preserve"> </w:t>
      </w:r>
      <w:r>
        <w:t xml:space="preserve">“Cloud Mask Intercomparison eXercise (CMIX): An Evaluation of Cloud Masking Algorithms for Landsat 8 and Sentinel-2.”</w:t>
      </w:r>
      <w:r>
        <w:t xml:space="preserve"> </w:t>
      </w:r>
      <w:r>
        <w:rPr>
          <w:i/>
          <w:iCs/>
        </w:rPr>
        <w:t xml:space="preserve">Remote Sensing of Environment</w:t>
      </w:r>
      <w:r>
        <w:t xml:space="preserve"> </w:t>
      </w:r>
      <w:r>
        <w:t xml:space="preserve">274: 112990. https://doi.org/</w:t>
      </w:r>
      <w:hyperlink r:id="rId394">
        <w:r>
          <w:rPr>
            <w:rStyle w:val="Hyperlink"/>
          </w:rPr>
          <w:t xml:space="preserve">https://doi.org/10.1016/j.rse.2022.112990</w:t>
        </w:r>
      </w:hyperlink>
      <w:r>
        <w:t xml:space="preserve">.</w:t>
      </w:r>
    </w:p>
    <w:bookmarkEnd w:id="395"/>
    <w:bookmarkStart w:id="397" w:name="ref-soppa2021"/>
    <w:p>
      <w:pPr>
        <w:pStyle w:val="Literaturverzeichnis"/>
      </w:pPr>
      <w:r>
        <w:t xml:space="preserve">Soppa, Mariana A., Brenner Silva, François Steinmetz, Darryl Keith, Daniel Scheffler, Niklas Bohn, and Astrid Bracher. 2021.</w:t>
      </w:r>
      <w:r>
        <w:t xml:space="preserve"> </w:t>
      </w:r>
      <w:r>
        <w:t xml:space="preserve">“Assessment of Polymer Atmospheric Correction Algorithm for Hyperspectral Remote Sensing Imagery over Coastal Waters.”</w:t>
      </w:r>
      <w:r>
        <w:t xml:space="preserve"> </w:t>
      </w:r>
      <w:r>
        <w:rPr>
          <w:i/>
          <w:iCs/>
        </w:rPr>
        <w:t xml:space="preserve">Sensors</w:t>
      </w:r>
      <w:r>
        <w:t xml:space="preserve"> </w:t>
      </w:r>
      <w:r>
        <w:t xml:space="preserve">21 (12).</w:t>
      </w:r>
      <w:r>
        <w:t xml:space="preserve"> </w:t>
      </w:r>
      <w:hyperlink r:id="rId396">
        <w:r>
          <w:rPr>
            <w:rStyle w:val="Hyperlink"/>
          </w:rPr>
          <w:t xml:space="preserve">https://doi.org/10.3390/s21124125</w:t>
        </w:r>
      </w:hyperlink>
      <w:r>
        <w:t xml:space="preserve">.</w:t>
      </w:r>
    </w:p>
    <w:bookmarkEnd w:id="397"/>
    <w:bookmarkStart w:id="399" w:name="ref-sterckx2015"/>
    <w:p>
      <w:pPr>
        <w:pStyle w:val="Literaturverzeichnis"/>
      </w:pPr>
      <w:r>
        <w:t xml:space="preserve">Sterckx, S., S. Knaeps, S. Kratzer, and K. Ruddick. 2015.</w:t>
      </w:r>
      <w:r>
        <w:t xml:space="preserve"> </w:t>
      </w:r>
      <w:r>
        <w:t xml:space="preserve">“SIMilarity Environment Correction (SIMEC) Applied to MERIS Data over Inland and Coastal Waters.”</w:t>
      </w:r>
      <w:r>
        <w:t xml:space="preserve"> </w:t>
      </w:r>
      <w:r>
        <w:rPr>
          <w:i/>
          <w:iCs/>
        </w:rPr>
        <w:t xml:space="preserve">Remote Sensing of Environment</w:t>
      </w:r>
      <w:r>
        <w:t xml:space="preserve"> </w:t>
      </w:r>
      <w:r>
        <w:t xml:space="preserve">157: 96–110. https://doi.org/</w:t>
      </w:r>
      <w:hyperlink r:id="rId398">
        <w:r>
          <w:rPr>
            <w:rStyle w:val="Hyperlink"/>
          </w:rPr>
          <w:t xml:space="preserve">https://doi.org/10.1016/j.rse.2014.06.017</w:t>
        </w:r>
      </w:hyperlink>
      <w:r>
        <w:t xml:space="preserve">.</w:t>
      </w:r>
    </w:p>
    <w:bookmarkEnd w:id="399"/>
    <w:bookmarkStart w:id="400" w:name="ref-stumpf2003"/>
    <w:p>
      <w:pPr>
        <w:pStyle w:val="Literaturverzeichnis"/>
      </w:pPr>
      <w:r>
        <w:t xml:space="preserve">Stumpf, Richard, Robert Arnone, R. Gould, P. Martinolich, and Varis Ransibrahmanakul. 2003.</w:t>
      </w:r>
      <w:r>
        <w:t xml:space="preserve"> </w:t>
      </w:r>
      <w:r>
        <w:t xml:space="preserve">“A Partially Coupled Ocean-Atmosphere Model for Retrieval of Water-Leaving Radiance from SeaWiFS in Coastal Waters.”</w:t>
      </w:r>
      <w:r>
        <w:t xml:space="preserve"> </w:t>
      </w:r>
      <w:r>
        <w:rPr>
          <w:i/>
          <w:iCs/>
        </w:rPr>
        <w:t xml:space="preserve">NASA Tech. Memo</w:t>
      </w:r>
      <w:r>
        <w:t xml:space="preserve"> </w:t>
      </w:r>
      <w:r>
        <w:t xml:space="preserve">206892 (May): 51–59.</w:t>
      </w:r>
    </w:p>
    <w:bookmarkEnd w:id="400"/>
    <w:bookmarkStart w:id="402" w:name="ref-vabson2024"/>
    <w:p>
      <w:pPr>
        <w:pStyle w:val="Literaturverzeichnis"/>
      </w:pPr>
      <w:r>
        <w:t xml:space="preserve">Vabson, Viktor, Ilmar Ansko, Kim Duong, Riho Vendt, Joel Kuusk, Kevin Ruddick, Agnieszka Bialek, Gavin H. Tilstone, Juan Ignacio Gossn, and Ewa Kwiatkowska. 2024.</w:t>
      </w:r>
      <w:r>
        <w:t xml:space="preserve"> </w:t>
      </w:r>
      <w:r>
        <w:t xml:space="preserve">“Complete Characterization of Ocean Color Radiometers.”</w:t>
      </w:r>
      <w:r>
        <w:t xml:space="preserve"> </w:t>
      </w:r>
      <w:r>
        <w:rPr>
          <w:i/>
          <w:iCs/>
        </w:rPr>
        <w:t xml:space="preserve">Frontiers in Remote Sensing</w:t>
      </w:r>
      <w:r>
        <w:t xml:space="preserve"> </w:t>
      </w:r>
      <w:r>
        <w:t xml:space="preserve">Volume 5 - 2024.</w:t>
      </w:r>
      <w:r>
        <w:t xml:space="preserve"> </w:t>
      </w:r>
      <w:hyperlink r:id="rId401">
        <w:r>
          <w:rPr>
            <w:rStyle w:val="Hyperlink"/>
          </w:rPr>
          <w:t xml:space="preserve">https://doi.org/10.3389/frsen.2024.1320454</w:t>
        </w:r>
      </w:hyperlink>
      <w:r>
        <w:t xml:space="preserve">.</w:t>
      </w:r>
    </w:p>
    <w:bookmarkEnd w:id="402"/>
    <w:bookmarkStart w:id="404" w:name="ref-vanhellemont2019"/>
    <w:p>
      <w:pPr>
        <w:pStyle w:val="Literaturverzeichnis"/>
      </w:pPr>
      <w:r>
        <w:t xml:space="preserve">Vanhellemont, Quinten. 2019.</w:t>
      </w:r>
      <w:r>
        <w:t xml:space="preserve"> </w:t>
      </w:r>
      <w:r>
        <w:t xml:space="preserve">“Adaptation of the Dark Spectrum Fitting Atmospheric Correction for Aquatic Applications of the Landsat and Sentinel-2 Archives.”</w:t>
      </w:r>
      <w:r>
        <w:t xml:space="preserve"> </w:t>
      </w:r>
      <w:r>
        <w:rPr>
          <w:i/>
          <w:iCs/>
        </w:rPr>
        <w:t xml:space="preserve">Remote Sensing of Environment</w:t>
      </w:r>
      <w:r>
        <w:t xml:space="preserve"> </w:t>
      </w:r>
      <w:r>
        <w:t xml:space="preserve">225: 175–92. https://doi.org/</w:t>
      </w:r>
      <w:hyperlink r:id="rId403">
        <w:r>
          <w:rPr>
            <w:rStyle w:val="Hyperlink"/>
          </w:rPr>
          <w:t xml:space="preserve">https://doi.org/10.1016/j.rse.2019.03.010</w:t>
        </w:r>
      </w:hyperlink>
      <w:r>
        <w:t xml:space="preserve">.</w:t>
      </w:r>
    </w:p>
    <w:bookmarkEnd w:id="404"/>
    <w:bookmarkStart w:id="406" w:name="ref-wang2017"/>
    <w:p>
      <w:pPr>
        <w:pStyle w:val="Literaturverzeichnis"/>
      </w:pPr>
      <w:r>
        <w:t xml:space="preserve">Wang, Menghua, Xiaoming Liu, Lide Jiang, and SeungHyun Son. 2017.</w:t>
      </w:r>
      <w:r>
        <w:t xml:space="preserve"> </w:t>
      </w:r>
      <w:r>
        <w:t xml:space="preserve">“VIIRS Ocean Color Products: Algorithm Theoretical Basis Document (ATBD), Version 1.0.”</w:t>
      </w:r>
      <w:r>
        <w:t xml:space="preserve"> </w:t>
      </w:r>
      <w:r>
        <w:t xml:space="preserve">Algorithm Theoretical Basis Document. NOAA NESDIS Center for Satellite Applications; Research (STAR).</w:t>
      </w:r>
      <w:r>
        <w:t xml:space="preserve"> </w:t>
      </w:r>
      <w:hyperlink r:id="rId405">
        <w:r>
          <w:rPr>
            <w:rStyle w:val="Hyperlink"/>
          </w:rPr>
          <w:t xml:space="preserve">https://www.star.nesdis.noaa.gov/jpss/documents/ATBD/ATBD_OceanColor_v1.0.pdf</w:t>
        </w:r>
      </w:hyperlink>
      <w:r>
        <w:t xml:space="preserve">.</w:t>
      </w:r>
    </w:p>
    <w:bookmarkEnd w:id="406"/>
    <w:bookmarkStart w:id="408" w:name="ref-weatherall2015"/>
    <w:p>
      <w:pPr>
        <w:pStyle w:val="Literaturverzeichnis"/>
      </w:pPr>
      <w:r>
        <w:t xml:space="preserve">Weatherall, Pauline, K. M. Marks, Martin Jakobsson, Thierry Schmitt, Shin Tani, Jan Erik Arndt, Marzia Rovere, Dale Chayes, Vicki Ferrini, and Rochelle Wigley. 2015.</w:t>
      </w:r>
      <w:r>
        <w:t xml:space="preserve"> </w:t>
      </w:r>
      <w:r>
        <w:t xml:space="preserve">“A New Digital Bathymetric Model of the World’s Oceans.”</w:t>
      </w:r>
      <w:r>
        <w:t xml:space="preserve"> </w:t>
      </w:r>
      <w:r>
        <w:rPr>
          <w:i/>
          <w:iCs/>
        </w:rPr>
        <w:t xml:space="preserve">Earth and Space Science</w:t>
      </w:r>
      <w:r>
        <w:t xml:space="preserve"> </w:t>
      </w:r>
      <w:r>
        <w:t xml:space="preserve">2 (8): 331–45. https://doi.org/</w:t>
      </w:r>
      <w:hyperlink r:id="rId407">
        <w:r>
          <w:rPr>
            <w:rStyle w:val="Hyperlink"/>
          </w:rPr>
          <w:t xml:space="preserve">https://doi.org/10.1002/2015EA000107</w:t>
        </w:r>
      </w:hyperlink>
      <w:r>
        <w:t xml:space="preserve">.</w:t>
      </w:r>
    </w:p>
    <w:bookmarkEnd w:id="408"/>
    <w:bookmarkStart w:id="410" w:name="ref-wu2023"/>
    <w:p>
      <w:pPr>
        <w:pStyle w:val="Literaturverzeichnis"/>
      </w:pPr>
      <w:r>
        <w:t xml:space="preserve">Wu, Yulun, Anders Knudby, and David Lapen. 2023.</w:t>
      </w:r>
      <w:r>
        <w:t xml:space="preserve"> </w:t>
      </w:r>
      <w:r>
        <w:t xml:space="preserve">“Topography-Adjusted Monte Carlo Simulation of the Adjacency Effect in Remote Sensing of Coastal and Inland Waters.”</w:t>
      </w:r>
      <w:r>
        <w:t xml:space="preserve"> </w:t>
      </w:r>
      <w:r>
        <w:rPr>
          <w:i/>
          <w:iCs/>
        </w:rPr>
        <w:t xml:space="preserve">Journal of Quantitative Spectroscopy and Radiative Transfer</w:t>
      </w:r>
      <w:r>
        <w:t xml:space="preserve"> </w:t>
      </w:r>
      <w:r>
        <w:t xml:space="preserve">303: 108589. https://doi.org/</w:t>
      </w:r>
      <w:hyperlink r:id="rId409">
        <w:r>
          <w:rPr>
            <w:rStyle w:val="Hyperlink"/>
          </w:rPr>
          <w:t xml:space="preserve">https://doi.org/10.1016/j.jqsrt.2023.108589</w:t>
        </w:r>
      </w:hyperlink>
      <w:r>
        <w:t xml:space="preserve">.</w:t>
      </w:r>
    </w:p>
    <w:bookmarkEnd w:id="410"/>
    <w:bookmarkStart w:id="412" w:name="ref-wu2024"/>
    <w:p>
      <w:pPr>
        <w:pStyle w:val="Literaturverzeichnis"/>
      </w:pPr>
      <w:r>
        <w:t xml:space="preserve">Wu, Yulun, Anders Knudby, Nima Pahlevan, David Lapen, and Chuiqing Zeng. 2024.</w:t>
      </w:r>
      <w:r>
        <w:t xml:space="preserve"> </w:t>
      </w:r>
      <w:r>
        <w:t xml:space="preserve">“Sensor-Generic Adjacency-Effect Correction for Remote Sensing of Coastal and Inland Waters.”</w:t>
      </w:r>
      <w:r>
        <w:t xml:space="preserve"> </w:t>
      </w:r>
      <w:r>
        <w:rPr>
          <w:i/>
          <w:iCs/>
        </w:rPr>
        <w:t xml:space="preserve">Remote Sensing of Environment</w:t>
      </w:r>
      <w:r>
        <w:t xml:space="preserve"> </w:t>
      </w:r>
      <w:r>
        <w:t xml:space="preserve">315: 114433. https://doi.org/</w:t>
      </w:r>
      <w:hyperlink r:id="rId411">
        <w:r>
          <w:rPr>
            <w:rStyle w:val="Hyperlink"/>
          </w:rPr>
          <w:t xml:space="preserve">https://doi.org/10.1016/j.rse.2024.114433</w:t>
        </w:r>
      </w:hyperlink>
      <w:r>
        <w:t xml:space="preserve">.</w:t>
      </w:r>
    </w:p>
    <w:bookmarkEnd w:id="412"/>
    <w:bookmarkStart w:id="414" w:name="ref-zhang2017"/>
    <w:p>
      <w:pPr>
        <w:pStyle w:val="Literaturverzeichnis"/>
      </w:pPr>
      <w:r>
        <w:t xml:space="preserve">Zhang, Xiaodong, Shuangyan He, Afshin Shabani, Peng-Wang Zhai, and Keping Du. 2017.</w:t>
      </w:r>
      <w:r>
        <w:t xml:space="preserve"> </w:t>
      </w:r>
      <w:r>
        <w:t xml:space="preserve">“Spectral Sea Surface Reflectance of Skylight.”</w:t>
      </w:r>
      <w:r>
        <w:t xml:space="preserve"> </w:t>
      </w:r>
      <w:r>
        <w:rPr>
          <w:i/>
          <w:iCs/>
        </w:rPr>
        <w:t xml:space="preserve">Opt. Express</w:t>
      </w:r>
      <w:r>
        <w:t xml:space="preserve"> </w:t>
      </w:r>
      <w:r>
        <w:t xml:space="preserve">25 (4): A1–13.</w:t>
      </w:r>
      <w:r>
        <w:t xml:space="preserve"> </w:t>
      </w:r>
      <w:hyperlink r:id="rId413">
        <w:r>
          <w:rPr>
            <w:rStyle w:val="Hyperlink"/>
          </w:rPr>
          <w:t xml:space="preserve">https://doi.org/10.1364/OE.25.0000A1</w:t>
        </w:r>
      </w:hyperlink>
      <w:r>
        <w:t xml:space="preserve">.</w:t>
      </w:r>
    </w:p>
    <w:bookmarkEnd w:id="414"/>
    <w:bookmarkStart w:id="416" w:name="ref-zhu2015"/>
    <w:p>
      <w:pPr>
        <w:pStyle w:val="Literaturverzeichnis"/>
      </w:pPr>
      <w:r>
        <w:t xml:space="preserve">Zhu, Zhe, Shixiong Wang, and Curtis E. Woodcock. 2015.</w:t>
      </w:r>
      <w:r>
        <w:t xml:space="preserve"> </w:t>
      </w:r>
      <w:r>
        <w:t xml:space="preserve">“Improvement and Expansion of the Fmask Algorithm: Cloud, Cloud Shadow, and Snow Detection for Landsats 4–7, 8, and Sentinel 2 Images.”</w:t>
      </w:r>
      <w:r>
        <w:t xml:space="preserve"> </w:t>
      </w:r>
      <w:r>
        <w:rPr>
          <w:i/>
          <w:iCs/>
        </w:rPr>
        <w:t xml:space="preserve">Remote Sensing of Environment</w:t>
      </w:r>
      <w:r>
        <w:t xml:space="preserve"> </w:t>
      </w:r>
      <w:r>
        <w:t xml:space="preserve">159: 269–77. https://doi.org/</w:t>
      </w:r>
      <w:hyperlink r:id="rId415">
        <w:r>
          <w:rPr>
            <w:rStyle w:val="Hyperlink"/>
          </w:rPr>
          <w:t xml:space="preserve">https://doi.org/10.1016/j.rse.2014.12.014</w:t>
        </w:r>
      </w:hyperlink>
      <w:r>
        <w:t xml:space="preserve">.</w:t>
      </w:r>
    </w:p>
    <w:bookmarkEnd w:id="416"/>
    <w:bookmarkStart w:id="418" w:name="ref-zhu2012"/>
    <w:p>
      <w:pPr>
        <w:pStyle w:val="Literaturverzeichnis"/>
      </w:pPr>
      <w:r>
        <w:t xml:space="preserve">Zhu, Zhe, and Curtis E. Woodcock. 2012.</w:t>
      </w:r>
      <w:r>
        <w:t xml:space="preserve"> </w:t>
      </w:r>
      <w:r>
        <w:t xml:space="preserve">“Object-Based Cloud and Cloud Shadow Detection in Landsat Imagery.”</w:t>
      </w:r>
      <w:r>
        <w:t xml:space="preserve"> </w:t>
      </w:r>
      <w:r>
        <w:rPr>
          <w:i/>
          <w:iCs/>
        </w:rPr>
        <w:t xml:space="preserve">Remote Sensing of Environment</w:t>
      </w:r>
      <w:r>
        <w:t xml:space="preserve"> </w:t>
      </w:r>
      <w:r>
        <w:t xml:space="preserve">118: 83–94. https://doi.org/</w:t>
      </w:r>
      <w:hyperlink r:id="rId417">
        <w:r>
          <w:rPr>
            <w:rStyle w:val="Hyperlink"/>
          </w:rPr>
          <w:t xml:space="preserve">https://doi.org/10.1016/j.rse.2011.10.028</w:t>
        </w:r>
      </w:hyperlink>
      <w:r>
        <w:t xml:space="preserve">.</w:t>
      </w:r>
    </w:p>
    <w:bookmarkEnd w:id="418"/>
    <w:bookmarkEnd w:id="419"/>
    <w:bookmarkEnd w:id="420"/>
    <w:bookmarkEnd w:id="421"/>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1"/>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1"/>
  </w:num>
  <w:num w:numId="106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8">
    <w:abstractNumId w:val="991"/>
  </w:num>
  <w:num w:numId="1069">
    <w:abstractNumId w:val="991"/>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58" Target="https://ceos.org/ard/files/CEOS_ARD_Governance_Framework_18-October-2021.pdf" TargetMode="External" /><Relationship Type="http://schemas.openxmlformats.org/officeDocument/2006/relationships/hyperlink" Id="rId71" Target="https://database.eohandbook.com" TargetMode="External" /><Relationship Type="http://schemas.openxmlformats.org/officeDocument/2006/relationships/hyperlink" Id="rId407" Target="https://doi.org/10.1002/2015EA000107" TargetMode="External" /><Relationship Type="http://schemas.openxmlformats.org/officeDocument/2006/relationships/hyperlink" Id="rId264" Target="https://doi.org/10.1002/lno.12606" TargetMode="External" /><Relationship Type="http://schemas.openxmlformats.org/officeDocument/2006/relationships/hyperlink" Id="rId409" Target="https://doi.org/10.1016/j.jqsrt.2023.108589" TargetMode="External" /><Relationship Type="http://schemas.openxmlformats.org/officeDocument/2006/relationships/hyperlink" Id="rId371" Target="https://doi.org/10.1016/j.rse.2006.01.022" TargetMode="External" /><Relationship Type="http://schemas.openxmlformats.org/officeDocument/2006/relationships/hyperlink" Id="rId392" Target="https://doi.org/10.1016/j.rse.2007.02.013" TargetMode="External" /><Relationship Type="http://schemas.openxmlformats.org/officeDocument/2006/relationships/hyperlink" Id="rId373" Target="https://doi.org/10.1016/j.rse.2007.07.009" TargetMode="External" /><Relationship Type="http://schemas.openxmlformats.org/officeDocument/2006/relationships/hyperlink" Id="rId270" Target="https://doi.org/10.1016/j.rse.2008.12.003" TargetMode="External" /><Relationship Type="http://schemas.openxmlformats.org/officeDocument/2006/relationships/hyperlink" Id="rId316" Target="https://doi.org/10.1016/j.rse.2009.05.012" TargetMode="External" /><Relationship Type="http://schemas.openxmlformats.org/officeDocument/2006/relationships/hyperlink" Id="rId346" Target="https://doi.org/10.1016/j.rse.2009.06.016" TargetMode="External" /><Relationship Type="http://schemas.openxmlformats.org/officeDocument/2006/relationships/hyperlink" Id="rId417" Target="https://doi.org/10.1016/j.rse.2011.10.028" TargetMode="External" /><Relationship Type="http://schemas.openxmlformats.org/officeDocument/2006/relationships/hyperlink" Id="rId357" Target="https://doi.org/10.1016/j.rse.2012.05.032" TargetMode="External" /><Relationship Type="http://schemas.openxmlformats.org/officeDocument/2006/relationships/hyperlink" Id="rId272" Target="https://doi.org/10.1016/j.rse.2013.07.040" TargetMode="External" /><Relationship Type="http://schemas.openxmlformats.org/officeDocument/2006/relationships/hyperlink" Id="rId398" Target="https://doi.org/10.1016/j.rse.2014.06.017" TargetMode="External" /><Relationship Type="http://schemas.openxmlformats.org/officeDocument/2006/relationships/hyperlink" Id="rId340" Target="https://doi.org/10.1016/j.rse.2014.07.025" TargetMode="External" /><Relationship Type="http://schemas.openxmlformats.org/officeDocument/2006/relationships/hyperlink" Id="rId359" Target="https://doi.org/10.1016/j.rse.2014.10.010" TargetMode="External" /><Relationship Type="http://schemas.openxmlformats.org/officeDocument/2006/relationships/hyperlink" Id="rId415" Target="https://doi.org/10.1016/j.rse.2014.12.014" TargetMode="External" /><Relationship Type="http://schemas.openxmlformats.org/officeDocument/2006/relationships/hyperlink" Id="rId377" Target="https://doi.org/10.1016/j.rse.2016.12.030" TargetMode="External" /><Relationship Type="http://schemas.openxmlformats.org/officeDocument/2006/relationships/hyperlink" Id="rId294" Target="https://doi.org/10.1016/j.rse.2017.03.026" TargetMode="External" /><Relationship Type="http://schemas.openxmlformats.org/officeDocument/2006/relationships/hyperlink" Id="rId309" Target="https://doi.org/10.1016/j.rse.2017.10.022" TargetMode="External" /><Relationship Type="http://schemas.openxmlformats.org/officeDocument/2006/relationships/hyperlink" Id="rId276" Target="https://doi.org/10.1016/j.rse.2017.12.021" TargetMode="External" /><Relationship Type="http://schemas.openxmlformats.org/officeDocument/2006/relationships/hyperlink" Id="rId403" Target="https://doi.org/10.1016/j.rse.2019.03.010" TargetMode="External" /><Relationship Type="http://schemas.openxmlformats.org/officeDocument/2006/relationships/hyperlink" Id="rId344" Target="https://doi.org/10.1016/j.rse.2019.111619" TargetMode="External" /><Relationship Type="http://schemas.openxmlformats.org/officeDocument/2006/relationships/hyperlink" Id="rId361" Target="https://doi.org/10.1016/j.rse.2021.112356" TargetMode="External" /><Relationship Type="http://schemas.openxmlformats.org/officeDocument/2006/relationships/hyperlink" Id="rId375" Target="https://doi.org/10.1016/j.rse.2021.112366" TargetMode="External" /><Relationship Type="http://schemas.openxmlformats.org/officeDocument/2006/relationships/hyperlink" Id="rId394" Target="https://doi.org/10.1016/j.rse.2022.112990" TargetMode="External" /><Relationship Type="http://schemas.openxmlformats.org/officeDocument/2006/relationships/hyperlink" Id="rId387" Target="https://doi.org/10.1016/j.rse.2024.114302" TargetMode="External" /><Relationship Type="http://schemas.openxmlformats.org/officeDocument/2006/relationships/hyperlink" Id="rId411" Target="https://doi.org/10.1016/j.rse.2024.114433" TargetMode="External" /><Relationship Type="http://schemas.openxmlformats.org/officeDocument/2006/relationships/hyperlink" Id="rId379" Target="https://doi.org/10.1016/j.rse.2024.114508" TargetMode="External" /><Relationship Type="http://schemas.openxmlformats.org/officeDocument/2006/relationships/hyperlink" Id="rId367" Target="https://doi.org/10.1029/1999JC900334" TargetMode="External" /><Relationship Type="http://schemas.openxmlformats.org/officeDocument/2006/relationships/hyperlink" Id="rId383" Target="https://doi.org/10.1038/nature20584" TargetMode="External" /><Relationship Type="http://schemas.openxmlformats.org/officeDocument/2006/relationships/hyperlink" Id="rId336" Target="https://doi.org/10.1038/s41597-022-01132-9" TargetMode="External" /><Relationship Type="http://schemas.openxmlformats.org/officeDocument/2006/relationships/hyperlink" Id="rId318" Target="https://doi.org/10.1080/01431161.2016.1157641" TargetMode="External" /><Relationship Type="http://schemas.openxmlformats.org/officeDocument/2006/relationships/hyperlink" Id="rId365" Target="https://doi.org/10.1080/014311699212434" TargetMode="External" /><Relationship Type="http://schemas.openxmlformats.org/officeDocument/2006/relationships/hyperlink" Id="rId334" Target="https://doi.org/10.1080/22797254.2018.1457937" TargetMode="External" /><Relationship Type="http://schemas.openxmlformats.org/officeDocument/2006/relationships/hyperlink" Id="rId363" Target="https://doi.org/10.13140/RG.2.2.23016.78081" TargetMode="External" /><Relationship Type="http://schemas.openxmlformats.org/officeDocument/2006/relationships/hyperlink" Id="rId342" Target="https://doi.org/10.1364/AO.23.001816" TargetMode="External" /><Relationship Type="http://schemas.openxmlformats.org/officeDocument/2006/relationships/hyperlink" Id="rId305" Target="https://doi.org/10.1364/AO.385853" TargetMode="External" /><Relationship Type="http://schemas.openxmlformats.org/officeDocument/2006/relationships/hyperlink" Id="rId369" Target="https://doi.org/10.1364/AO.41.006289" TargetMode="External" /><Relationship Type="http://schemas.openxmlformats.org/officeDocument/2006/relationships/hyperlink" Id="rId381" Target="https://doi.org/10.1364/AO.44.001236" TargetMode="External" /><Relationship Type="http://schemas.openxmlformats.org/officeDocument/2006/relationships/hyperlink" Id="rId352" Target="https://doi.org/10.1364/AO.50.003155" TargetMode="External" /><Relationship Type="http://schemas.openxmlformats.org/officeDocument/2006/relationships/hyperlink" Id="rId332" Target="https://doi.org/10.1364/AO.52.005631" TargetMode="External" /><Relationship Type="http://schemas.openxmlformats.org/officeDocument/2006/relationships/hyperlink" Id="rId274" Target="https://doi.org/10.1364/AO.53.001523" TargetMode="External" /><Relationship Type="http://schemas.openxmlformats.org/officeDocument/2006/relationships/hyperlink" Id="rId390" Target="https://doi.org/10.1364/AO.54.003748" TargetMode="External" /><Relationship Type="http://schemas.openxmlformats.org/officeDocument/2006/relationships/hyperlink" Id="rId278" Target="https://doi.org/10.1364/AO.546766" TargetMode="External" /><Relationship Type="http://schemas.openxmlformats.org/officeDocument/2006/relationships/hyperlink" Id="rId290" Target="https://doi.org/10.1364/AO.55.000010" TargetMode="External" /><Relationship Type="http://schemas.openxmlformats.org/officeDocument/2006/relationships/hyperlink" Id="rId413" Target="https://doi.org/10.1364/OE.25.0000A1" TargetMode="External" /><Relationship Type="http://schemas.openxmlformats.org/officeDocument/2006/relationships/hyperlink" Id="rId262" Target="https://doi.org/10.1371/journal.pone.0271477" TargetMode="External" /><Relationship Type="http://schemas.openxmlformats.org/officeDocument/2006/relationships/hyperlink" Id="rId282" Target="https://doi.org/10.3389/feart.2019.00014" TargetMode="External" /><Relationship Type="http://schemas.openxmlformats.org/officeDocument/2006/relationships/hyperlink" Id="rId296" Target="https://doi.org/10.3389/feart.2019.00145" TargetMode="External" /><Relationship Type="http://schemas.openxmlformats.org/officeDocument/2006/relationships/hyperlink" Id="rId284" Target="https://doi.org/10.3389/feart.2021.683136" TargetMode="External" /><Relationship Type="http://schemas.openxmlformats.org/officeDocument/2006/relationships/hyperlink" Id="rId401" Target="https://doi.org/10.3389/frsen.2024.1320454" TargetMode="External" /><Relationship Type="http://schemas.openxmlformats.org/officeDocument/2006/relationships/hyperlink" Id="rId330" Target="https://doi.org/10.3390/rs1040697" TargetMode="External" /><Relationship Type="http://schemas.openxmlformats.org/officeDocument/2006/relationships/hyperlink" Id="rId303" Target="https://doi.org/10.3390/rs11030220" TargetMode="External" /><Relationship Type="http://schemas.openxmlformats.org/officeDocument/2006/relationships/hyperlink" Id="rId328" Target="https://doi.org/10.3390/rs11040374" TargetMode="External" /><Relationship Type="http://schemas.openxmlformats.org/officeDocument/2006/relationships/hyperlink" Id="rId322" Target="https://doi.org/10.3390/rs11040469" TargetMode="External" /><Relationship Type="http://schemas.openxmlformats.org/officeDocument/2006/relationships/hyperlink" Id="rId286" Target="https://doi.org/10.3390/rs13152982" TargetMode="External" /><Relationship Type="http://schemas.openxmlformats.org/officeDocument/2006/relationships/hyperlink" Id="rId307" Target="https://doi.org/10.3390/rs13183581" TargetMode="External" /><Relationship Type="http://schemas.openxmlformats.org/officeDocument/2006/relationships/hyperlink" Id="rId301" Target="https://doi.org/10.3390/rs15051276" TargetMode="External" /><Relationship Type="http://schemas.openxmlformats.org/officeDocument/2006/relationships/hyperlink" Id="rId338" Target="https://doi.org/10.3390/rs16050843" TargetMode="External" /><Relationship Type="http://schemas.openxmlformats.org/officeDocument/2006/relationships/hyperlink" Id="rId266" Target="https://doi.org/10.3390/rs8060459" TargetMode="External" /><Relationship Type="http://schemas.openxmlformats.org/officeDocument/2006/relationships/hyperlink" Id="rId355" Target="https://doi.org/10.3390/rs8060523" TargetMode="External" /><Relationship Type="http://schemas.openxmlformats.org/officeDocument/2006/relationships/hyperlink" Id="rId396" Target="https://doi.org/10.3390/s21124125" TargetMode="External" /><Relationship Type="http://schemas.openxmlformats.org/officeDocument/2006/relationships/hyperlink" Id="rId280" Target="https://doi.org/10.4319/lom.2011.9.396" TargetMode="External" /><Relationship Type="http://schemas.openxmlformats.org/officeDocument/2006/relationships/hyperlink" Id="rId385" Target="https://doi.org/10.5281/zenodo.10357236" TargetMode="External" /><Relationship Type="http://schemas.openxmlformats.org/officeDocument/2006/relationships/hyperlink" Id="rId298" Target="https://doi.org/10.5285/1c44ce99-0a0d-5f4f-e063-7086abc0ea0f" TargetMode="External" /><Relationship Type="http://schemas.openxmlformats.org/officeDocument/2006/relationships/hyperlink" Id="rId311" Target="https://doi.org/10.58440/ihr-28-a14 " TargetMode="External" /><Relationship Type="http://schemas.openxmlformats.org/officeDocument/2006/relationships/hyperlink" Id="rId320" Target="https://iho.int/uploads/user/pubs/bathy/B_13_Ed100_032024.pdf" TargetMode="External" /><Relationship Type="http://schemas.openxmlformats.org/officeDocument/2006/relationships/hyperlink" Id="rId313" Target="https://land.copernicus.eu/en/technical-library/quality-assessment-report-for-lake-ice-extent-baltic-sea-region-250-m-raster/@@download/file" TargetMode="External" /><Relationship Type="http://schemas.openxmlformats.org/officeDocument/2006/relationships/hyperlink" Id="rId292" Target="https://repository.rit.edu/theses/8301" TargetMode="External" /><Relationship Type="http://schemas.openxmlformats.org/officeDocument/2006/relationships/hyperlink" Id="rId268" Target="https://sentiwiki.copernicus.eu/__attachments/1672112/S3-ACR-TN-007%20-%20Sentinel%203%20OLCI%20Level%200%20and%201B%20ATBD%202014%20-%205.0.pdf" TargetMode="External" /><Relationship Type="http://schemas.openxmlformats.org/officeDocument/2006/relationships/hyperlink" Id="rId288" Target="https://user.eumetsat.int/s3/eup-strapi-media/Sentinel_3_OLCI_L2_report_for_baseline_collection_OL_L2_M_003_2_B_c8bbc6d986.pdf" TargetMode="External" /><Relationship Type="http://schemas.openxmlformats.org/officeDocument/2006/relationships/hyperlink" Id="rId350" Target="https://user.eumetsat.int/s3/eup-strapi-media/pdf_s3_l2_atbd_glint_corr_6d7b828eec.pdf" TargetMode="External" /><Relationship Type="http://schemas.openxmlformats.org/officeDocument/2006/relationships/hyperlink" Id="rId348" Target="https://user.eumetsat.int/s3/eup-strapi-media/pdf_s3_l2_atbd_white_caps_corr_ac4301c8fe.pdf" TargetMode="External" /><Relationship Type="http://schemas.openxmlformats.org/officeDocument/2006/relationships/hyperlink" Id="rId326" Target="https://www.bipm.org/documents/20126/2071204/JCGM_GUM_6_2020.pdf" TargetMode="External" /><Relationship Type="http://schemas.openxmlformats.org/officeDocument/2006/relationships/hyperlink" Id="rId405" Target="https://www.star.nesdis.noaa.gov/jpss/documents/ATBD/ATBD_OceanColor_v1.0.pdf"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8" Target="https://ceos.org/ard/files/CEOS_ARD_Governance_Framework_18-October-2021.pdf" TargetMode="External" /><Relationship Type="http://schemas.openxmlformats.org/officeDocument/2006/relationships/hyperlink" Id="rId71" Target="https://database.eohandbook.com" TargetMode="External" /><Relationship Type="http://schemas.openxmlformats.org/officeDocument/2006/relationships/hyperlink" Id="rId407" Target="https://doi.org/10.1002/2015EA000107" TargetMode="External" /><Relationship Type="http://schemas.openxmlformats.org/officeDocument/2006/relationships/hyperlink" Id="rId264" Target="https://doi.org/10.1002/lno.12606" TargetMode="External" /><Relationship Type="http://schemas.openxmlformats.org/officeDocument/2006/relationships/hyperlink" Id="rId409" Target="https://doi.org/10.1016/j.jqsrt.2023.108589" TargetMode="External" /><Relationship Type="http://schemas.openxmlformats.org/officeDocument/2006/relationships/hyperlink" Id="rId371" Target="https://doi.org/10.1016/j.rse.2006.01.022" TargetMode="External" /><Relationship Type="http://schemas.openxmlformats.org/officeDocument/2006/relationships/hyperlink" Id="rId392" Target="https://doi.org/10.1016/j.rse.2007.02.013" TargetMode="External" /><Relationship Type="http://schemas.openxmlformats.org/officeDocument/2006/relationships/hyperlink" Id="rId373" Target="https://doi.org/10.1016/j.rse.2007.07.009" TargetMode="External" /><Relationship Type="http://schemas.openxmlformats.org/officeDocument/2006/relationships/hyperlink" Id="rId270" Target="https://doi.org/10.1016/j.rse.2008.12.003" TargetMode="External" /><Relationship Type="http://schemas.openxmlformats.org/officeDocument/2006/relationships/hyperlink" Id="rId316" Target="https://doi.org/10.1016/j.rse.2009.05.012" TargetMode="External" /><Relationship Type="http://schemas.openxmlformats.org/officeDocument/2006/relationships/hyperlink" Id="rId346" Target="https://doi.org/10.1016/j.rse.2009.06.016" TargetMode="External" /><Relationship Type="http://schemas.openxmlformats.org/officeDocument/2006/relationships/hyperlink" Id="rId417" Target="https://doi.org/10.1016/j.rse.2011.10.028" TargetMode="External" /><Relationship Type="http://schemas.openxmlformats.org/officeDocument/2006/relationships/hyperlink" Id="rId357" Target="https://doi.org/10.1016/j.rse.2012.05.032" TargetMode="External" /><Relationship Type="http://schemas.openxmlformats.org/officeDocument/2006/relationships/hyperlink" Id="rId272" Target="https://doi.org/10.1016/j.rse.2013.07.040" TargetMode="External" /><Relationship Type="http://schemas.openxmlformats.org/officeDocument/2006/relationships/hyperlink" Id="rId398" Target="https://doi.org/10.1016/j.rse.2014.06.017" TargetMode="External" /><Relationship Type="http://schemas.openxmlformats.org/officeDocument/2006/relationships/hyperlink" Id="rId340" Target="https://doi.org/10.1016/j.rse.2014.07.025" TargetMode="External" /><Relationship Type="http://schemas.openxmlformats.org/officeDocument/2006/relationships/hyperlink" Id="rId359" Target="https://doi.org/10.1016/j.rse.2014.10.010" TargetMode="External" /><Relationship Type="http://schemas.openxmlformats.org/officeDocument/2006/relationships/hyperlink" Id="rId415" Target="https://doi.org/10.1016/j.rse.2014.12.014" TargetMode="External" /><Relationship Type="http://schemas.openxmlformats.org/officeDocument/2006/relationships/hyperlink" Id="rId377" Target="https://doi.org/10.1016/j.rse.2016.12.030" TargetMode="External" /><Relationship Type="http://schemas.openxmlformats.org/officeDocument/2006/relationships/hyperlink" Id="rId294" Target="https://doi.org/10.1016/j.rse.2017.03.026" TargetMode="External" /><Relationship Type="http://schemas.openxmlformats.org/officeDocument/2006/relationships/hyperlink" Id="rId309" Target="https://doi.org/10.1016/j.rse.2017.10.022" TargetMode="External" /><Relationship Type="http://schemas.openxmlformats.org/officeDocument/2006/relationships/hyperlink" Id="rId276" Target="https://doi.org/10.1016/j.rse.2017.12.021" TargetMode="External" /><Relationship Type="http://schemas.openxmlformats.org/officeDocument/2006/relationships/hyperlink" Id="rId403" Target="https://doi.org/10.1016/j.rse.2019.03.010" TargetMode="External" /><Relationship Type="http://schemas.openxmlformats.org/officeDocument/2006/relationships/hyperlink" Id="rId344" Target="https://doi.org/10.1016/j.rse.2019.111619" TargetMode="External" /><Relationship Type="http://schemas.openxmlformats.org/officeDocument/2006/relationships/hyperlink" Id="rId361" Target="https://doi.org/10.1016/j.rse.2021.112356" TargetMode="External" /><Relationship Type="http://schemas.openxmlformats.org/officeDocument/2006/relationships/hyperlink" Id="rId375" Target="https://doi.org/10.1016/j.rse.2021.112366" TargetMode="External" /><Relationship Type="http://schemas.openxmlformats.org/officeDocument/2006/relationships/hyperlink" Id="rId394" Target="https://doi.org/10.1016/j.rse.2022.112990" TargetMode="External" /><Relationship Type="http://schemas.openxmlformats.org/officeDocument/2006/relationships/hyperlink" Id="rId387" Target="https://doi.org/10.1016/j.rse.2024.114302" TargetMode="External" /><Relationship Type="http://schemas.openxmlformats.org/officeDocument/2006/relationships/hyperlink" Id="rId411" Target="https://doi.org/10.1016/j.rse.2024.114433" TargetMode="External" /><Relationship Type="http://schemas.openxmlformats.org/officeDocument/2006/relationships/hyperlink" Id="rId379" Target="https://doi.org/10.1016/j.rse.2024.114508" TargetMode="External" /><Relationship Type="http://schemas.openxmlformats.org/officeDocument/2006/relationships/hyperlink" Id="rId367" Target="https://doi.org/10.1029/1999JC900334" TargetMode="External" /><Relationship Type="http://schemas.openxmlformats.org/officeDocument/2006/relationships/hyperlink" Id="rId383" Target="https://doi.org/10.1038/nature20584" TargetMode="External" /><Relationship Type="http://schemas.openxmlformats.org/officeDocument/2006/relationships/hyperlink" Id="rId336" Target="https://doi.org/10.1038/s41597-022-01132-9" TargetMode="External" /><Relationship Type="http://schemas.openxmlformats.org/officeDocument/2006/relationships/hyperlink" Id="rId318" Target="https://doi.org/10.1080/01431161.2016.1157641" TargetMode="External" /><Relationship Type="http://schemas.openxmlformats.org/officeDocument/2006/relationships/hyperlink" Id="rId365" Target="https://doi.org/10.1080/014311699212434" TargetMode="External" /><Relationship Type="http://schemas.openxmlformats.org/officeDocument/2006/relationships/hyperlink" Id="rId334" Target="https://doi.org/10.1080/22797254.2018.1457937" TargetMode="External" /><Relationship Type="http://schemas.openxmlformats.org/officeDocument/2006/relationships/hyperlink" Id="rId363" Target="https://doi.org/10.13140/RG.2.2.23016.78081" TargetMode="External" /><Relationship Type="http://schemas.openxmlformats.org/officeDocument/2006/relationships/hyperlink" Id="rId342" Target="https://doi.org/10.1364/AO.23.001816" TargetMode="External" /><Relationship Type="http://schemas.openxmlformats.org/officeDocument/2006/relationships/hyperlink" Id="rId305" Target="https://doi.org/10.1364/AO.385853" TargetMode="External" /><Relationship Type="http://schemas.openxmlformats.org/officeDocument/2006/relationships/hyperlink" Id="rId369" Target="https://doi.org/10.1364/AO.41.006289" TargetMode="External" /><Relationship Type="http://schemas.openxmlformats.org/officeDocument/2006/relationships/hyperlink" Id="rId381" Target="https://doi.org/10.1364/AO.44.001236" TargetMode="External" /><Relationship Type="http://schemas.openxmlformats.org/officeDocument/2006/relationships/hyperlink" Id="rId352" Target="https://doi.org/10.1364/AO.50.003155" TargetMode="External" /><Relationship Type="http://schemas.openxmlformats.org/officeDocument/2006/relationships/hyperlink" Id="rId332" Target="https://doi.org/10.1364/AO.52.005631" TargetMode="External" /><Relationship Type="http://schemas.openxmlformats.org/officeDocument/2006/relationships/hyperlink" Id="rId274" Target="https://doi.org/10.1364/AO.53.001523" TargetMode="External" /><Relationship Type="http://schemas.openxmlformats.org/officeDocument/2006/relationships/hyperlink" Id="rId390" Target="https://doi.org/10.1364/AO.54.003748" TargetMode="External" /><Relationship Type="http://schemas.openxmlformats.org/officeDocument/2006/relationships/hyperlink" Id="rId278" Target="https://doi.org/10.1364/AO.546766" TargetMode="External" /><Relationship Type="http://schemas.openxmlformats.org/officeDocument/2006/relationships/hyperlink" Id="rId290" Target="https://doi.org/10.1364/AO.55.000010" TargetMode="External" /><Relationship Type="http://schemas.openxmlformats.org/officeDocument/2006/relationships/hyperlink" Id="rId413" Target="https://doi.org/10.1364/OE.25.0000A1" TargetMode="External" /><Relationship Type="http://schemas.openxmlformats.org/officeDocument/2006/relationships/hyperlink" Id="rId262" Target="https://doi.org/10.1371/journal.pone.0271477" TargetMode="External" /><Relationship Type="http://schemas.openxmlformats.org/officeDocument/2006/relationships/hyperlink" Id="rId282" Target="https://doi.org/10.3389/feart.2019.00014" TargetMode="External" /><Relationship Type="http://schemas.openxmlformats.org/officeDocument/2006/relationships/hyperlink" Id="rId296" Target="https://doi.org/10.3389/feart.2019.00145" TargetMode="External" /><Relationship Type="http://schemas.openxmlformats.org/officeDocument/2006/relationships/hyperlink" Id="rId284" Target="https://doi.org/10.3389/feart.2021.683136" TargetMode="External" /><Relationship Type="http://schemas.openxmlformats.org/officeDocument/2006/relationships/hyperlink" Id="rId401" Target="https://doi.org/10.3389/frsen.2024.1320454" TargetMode="External" /><Relationship Type="http://schemas.openxmlformats.org/officeDocument/2006/relationships/hyperlink" Id="rId330" Target="https://doi.org/10.3390/rs1040697" TargetMode="External" /><Relationship Type="http://schemas.openxmlformats.org/officeDocument/2006/relationships/hyperlink" Id="rId303" Target="https://doi.org/10.3390/rs11030220" TargetMode="External" /><Relationship Type="http://schemas.openxmlformats.org/officeDocument/2006/relationships/hyperlink" Id="rId328" Target="https://doi.org/10.3390/rs11040374" TargetMode="External" /><Relationship Type="http://schemas.openxmlformats.org/officeDocument/2006/relationships/hyperlink" Id="rId322" Target="https://doi.org/10.3390/rs11040469" TargetMode="External" /><Relationship Type="http://schemas.openxmlformats.org/officeDocument/2006/relationships/hyperlink" Id="rId286" Target="https://doi.org/10.3390/rs13152982" TargetMode="External" /><Relationship Type="http://schemas.openxmlformats.org/officeDocument/2006/relationships/hyperlink" Id="rId307" Target="https://doi.org/10.3390/rs13183581" TargetMode="External" /><Relationship Type="http://schemas.openxmlformats.org/officeDocument/2006/relationships/hyperlink" Id="rId301" Target="https://doi.org/10.3390/rs15051276" TargetMode="External" /><Relationship Type="http://schemas.openxmlformats.org/officeDocument/2006/relationships/hyperlink" Id="rId338" Target="https://doi.org/10.3390/rs16050843" TargetMode="External" /><Relationship Type="http://schemas.openxmlformats.org/officeDocument/2006/relationships/hyperlink" Id="rId266" Target="https://doi.org/10.3390/rs8060459" TargetMode="External" /><Relationship Type="http://schemas.openxmlformats.org/officeDocument/2006/relationships/hyperlink" Id="rId355" Target="https://doi.org/10.3390/rs8060523" TargetMode="External" /><Relationship Type="http://schemas.openxmlformats.org/officeDocument/2006/relationships/hyperlink" Id="rId396" Target="https://doi.org/10.3390/s21124125" TargetMode="External" /><Relationship Type="http://schemas.openxmlformats.org/officeDocument/2006/relationships/hyperlink" Id="rId280" Target="https://doi.org/10.4319/lom.2011.9.396" TargetMode="External" /><Relationship Type="http://schemas.openxmlformats.org/officeDocument/2006/relationships/hyperlink" Id="rId385" Target="https://doi.org/10.5281/zenodo.10357236" TargetMode="External" /><Relationship Type="http://schemas.openxmlformats.org/officeDocument/2006/relationships/hyperlink" Id="rId298" Target="https://doi.org/10.5285/1c44ce99-0a0d-5f4f-e063-7086abc0ea0f" TargetMode="External" /><Relationship Type="http://schemas.openxmlformats.org/officeDocument/2006/relationships/hyperlink" Id="rId311" Target="https://doi.org/10.58440/ihr-28-a14 " TargetMode="External" /><Relationship Type="http://schemas.openxmlformats.org/officeDocument/2006/relationships/hyperlink" Id="rId320" Target="https://iho.int/uploads/user/pubs/bathy/B_13_Ed100_032024.pdf" TargetMode="External" /><Relationship Type="http://schemas.openxmlformats.org/officeDocument/2006/relationships/hyperlink" Id="rId313" Target="https://land.copernicus.eu/en/technical-library/quality-assessment-report-for-lake-ice-extent-baltic-sea-region-250-m-raster/@@download/file" TargetMode="External" /><Relationship Type="http://schemas.openxmlformats.org/officeDocument/2006/relationships/hyperlink" Id="rId292" Target="https://repository.rit.edu/theses/8301" TargetMode="External" /><Relationship Type="http://schemas.openxmlformats.org/officeDocument/2006/relationships/hyperlink" Id="rId268" Target="https://sentiwiki.copernicus.eu/__attachments/1672112/S3-ACR-TN-007%20-%20Sentinel%203%20OLCI%20Level%200%20and%201B%20ATBD%202014%20-%205.0.pdf" TargetMode="External" /><Relationship Type="http://schemas.openxmlformats.org/officeDocument/2006/relationships/hyperlink" Id="rId288" Target="https://user.eumetsat.int/s3/eup-strapi-media/Sentinel_3_OLCI_L2_report_for_baseline_collection_OL_L2_M_003_2_B_c8bbc6d986.pdf" TargetMode="External" /><Relationship Type="http://schemas.openxmlformats.org/officeDocument/2006/relationships/hyperlink" Id="rId350" Target="https://user.eumetsat.int/s3/eup-strapi-media/pdf_s3_l2_atbd_glint_corr_6d7b828eec.pdf" TargetMode="External" /><Relationship Type="http://schemas.openxmlformats.org/officeDocument/2006/relationships/hyperlink" Id="rId348" Target="https://user.eumetsat.int/s3/eup-strapi-media/pdf_s3_l2_atbd_white_caps_corr_ac4301c8fe.pdf" TargetMode="External" /><Relationship Type="http://schemas.openxmlformats.org/officeDocument/2006/relationships/hyperlink" Id="rId326" Target="https://www.bipm.org/documents/20126/2071204/JCGM_GUM_6_2020.pdf" TargetMode="External" /><Relationship Type="http://schemas.openxmlformats.org/officeDocument/2006/relationships/hyperlink" Id="rId405" Target="https://www.star.nesdis.noaa.gov/jpss/documents/ATBD/ATBD_OceanColor_v1.0.pdf"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Aquatic Reflectance - Version 2.0.0-draft</dc:title>
  <dc:creator/>
  <dc:language>en</dc:language>
  <cp:keywords/>
  <dcterms:created xsi:type="dcterms:W3CDTF">2026-04-20T13:00:21Z</dcterms:created>
  <dcterms:modified xsi:type="dcterms:W3CDTF">2026-04-20T13:00:21Z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/home/runner/work/ceos-ard/ceos-ard/build/AR.bib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